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9"/>
        <w:jc w:val="center"/>
      </w:pPr>
      <w:r>
        <w:rPr>
          <w:rFonts w:ascii="Cambria" w:hAnsi="Cambria"/>
          <w:b w:val="0"/>
          <w:i/>
          <w:caps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71304" cy="1991169"/>
                <wp:effectExtent l="0" t="0" r="0" b="0"/>
                <wp:docPr id="1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UGMRN.gif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971304" cy="199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5.22pt;height:156.78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pStyle w:val="909"/>
        <w:jc w:val="center"/>
        <w:rPr>
          <w:color w:val="auto"/>
          <w:lang w:val="en-US"/>
        </w:rPr>
      </w:pPr>
      <w:r>
        <w:rPr>
          <w:color w:val="auto"/>
          <w:lang w:val="en-US"/>
        </w:rPr>
      </w:r>
      <w:r>
        <w:rPr>
          <w:color w:val="auto"/>
          <w:lang w:val="en-US"/>
        </w:rPr>
      </w:r>
      <w:r>
        <w:rPr>
          <w:color w:val="auto"/>
          <w:lang w:val="en-US"/>
        </w:rPr>
      </w:r>
    </w:p>
    <w:p>
      <w:pPr>
        <w:pStyle w:val="916"/>
        <w:ind w:firstLine="0"/>
        <w:jc w:val="center"/>
        <w:spacing w:before="0" w:after="0" w:line="480" w:lineRule="auto"/>
        <w:rPr>
          <w:i w:val="0"/>
        </w:rPr>
      </w:pPr>
      <w:r>
        <w:rPr>
          <w:i w:val="0"/>
        </w:rPr>
        <w:t xml:space="preserve">Министерство транспорта Российской Федерации</w:t>
      </w:r>
      <w:r>
        <w:rPr>
          <w:i w:val="0"/>
        </w:rPr>
      </w:r>
      <w:r>
        <w:rPr>
          <w:i w:val="0"/>
        </w:rPr>
      </w:r>
    </w:p>
    <w:p>
      <w:pPr>
        <w:pStyle w:val="916"/>
        <w:ind w:firstLine="0"/>
        <w:jc w:val="center"/>
        <w:spacing w:before="0" w:after="0" w:line="480" w:lineRule="auto"/>
        <w:rPr>
          <w:i w:val="0"/>
        </w:rPr>
      </w:pPr>
      <w:r>
        <w:rPr>
          <w:i w:val="0"/>
        </w:rPr>
        <w:t xml:space="preserve">Межрегиональное территориальное Управление Федеральной службы по надзору в сфере транспорта по Приволжскому федеральному округу. </w:t>
      </w:r>
      <w:r>
        <w:rPr>
          <w:i w:val="0"/>
        </w:rPr>
      </w:r>
      <w:r>
        <w:rPr>
          <w:i w:val="0"/>
        </w:rPr>
      </w:r>
    </w:p>
    <w:p>
      <w:pPr>
        <w:pStyle w:val="916"/>
        <w:ind w:firstLine="0"/>
        <w:jc w:val="center"/>
        <w:spacing w:before="0" w:after="0" w:line="480" w:lineRule="auto"/>
        <w:rPr>
          <w:i w:val="0"/>
        </w:rPr>
      </w:pPr>
      <w:r>
        <w:rPr>
          <w:i w:val="0"/>
        </w:rPr>
      </w:r>
      <w:r>
        <w:rPr>
          <w:i w:val="0"/>
        </w:rPr>
      </w:r>
      <w:r>
        <w:rPr>
          <w:i w:val="0"/>
        </w:rPr>
      </w:r>
    </w:p>
    <w:p>
      <w:pPr>
        <w:pStyle w:val="916"/>
        <w:ind w:firstLine="0"/>
        <w:jc w:val="center"/>
        <w:spacing w:before="0" w:after="0" w:line="240" w:lineRule="auto"/>
        <w:rPr>
          <w:i w:val="0"/>
        </w:rPr>
      </w:pPr>
      <w:r>
        <w:rPr>
          <w:i w:val="0"/>
        </w:rPr>
      </w:r>
      <w:r>
        <w:rPr>
          <w:i w:val="0"/>
        </w:rPr>
      </w:r>
      <w:r>
        <w:rPr>
          <w:i w:val="0"/>
        </w:rPr>
      </w:r>
    </w:p>
    <w:p>
      <w:pPr>
        <w:pStyle w:val="916"/>
        <w:ind w:firstLine="0"/>
        <w:jc w:val="center"/>
        <w:spacing w:before="0" w:after="0" w:line="240" w:lineRule="auto"/>
        <w:rPr>
          <w:i w:val="0"/>
        </w:rPr>
      </w:pPr>
      <w:r>
        <w:rPr>
          <w:i w:val="0"/>
        </w:rPr>
      </w:r>
      <w:r>
        <w:rPr>
          <w:i w:val="0"/>
        </w:rPr>
      </w:r>
      <w:r>
        <w:rPr>
          <w:i w:val="0"/>
        </w:rPr>
      </w:r>
    </w:p>
    <w:p>
      <w:pPr>
        <w:pStyle w:val="916"/>
        <w:ind w:firstLine="0"/>
        <w:jc w:val="center"/>
        <w:spacing w:before="0" w:after="0" w:line="240" w:lineRule="auto"/>
        <w:rPr>
          <w:i w:val="0"/>
        </w:rPr>
      </w:pPr>
      <w:r>
        <w:rPr>
          <w:i w:val="0"/>
        </w:rPr>
      </w:r>
      <w:r>
        <w:rPr>
          <w:i w:val="0"/>
        </w:rPr>
      </w:r>
      <w:r>
        <w:rPr>
          <w:i w:val="0"/>
        </w:rPr>
      </w:r>
    </w:p>
    <w:p>
      <w:pPr>
        <w:pStyle w:val="916"/>
        <w:ind w:firstLine="0"/>
        <w:jc w:val="center"/>
        <w:spacing w:before="0" w:after="0" w:line="240" w:lineRule="auto"/>
        <w:rPr>
          <w:i w:val="0"/>
        </w:rPr>
      </w:pPr>
      <w:r>
        <w:rPr>
          <w:i w:val="0"/>
        </w:rPr>
      </w:r>
      <w:r>
        <w:rPr>
          <w:i w:val="0"/>
        </w:rPr>
      </w:r>
      <w:r>
        <w:rPr>
          <w:i w:val="0"/>
        </w:rPr>
      </w:r>
    </w:p>
    <w:p>
      <w:pPr>
        <w:pStyle w:val="916"/>
        <w:ind w:firstLine="0"/>
        <w:jc w:val="center"/>
        <w:spacing w:before="0" w:after="0" w:line="360" w:lineRule="auto"/>
        <w:rPr>
          <w:i w:val="0"/>
        </w:rPr>
      </w:pPr>
      <w:r>
        <w:rPr>
          <w:i w:val="0"/>
        </w:rPr>
        <w:t xml:space="preserve">ДОКЛАД</w:t>
      </w:r>
      <w:r>
        <w:rPr>
          <w:i w:val="0"/>
        </w:rPr>
      </w:r>
      <w:r>
        <w:rPr>
          <w:i w:val="0"/>
        </w:rPr>
      </w:r>
    </w:p>
    <w:p>
      <w:pPr>
        <w:pStyle w:val="916"/>
        <w:ind w:firstLine="0"/>
        <w:jc w:val="center"/>
        <w:spacing w:before="0" w:after="0" w:line="360" w:lineRule="auto"/>
        <w:rPr>
          <w:i w:val="0"/>
        </w:rPr>
      </w:pPr>
      <w:r>
        <w:rPr>
          <w:i w:val="0"/>
        </w:rPr>
        <w:t xml:space="preserve">по правоприменительной пр</w:t>
      </w:r>
      <w:r>
        <w:rPr>
          <w:i w:val="0"/>
        </w:rPr>
        <w:t xml:space="preserve">актике </w:t>
      </w:r>
      <w:r>
        <w:rPr>
          <w:i w:val="0"/>
        </w:rPr>
      </w:r>
      <w:r>
        <w:rPr>
          <w:i w:val="0"/>
        </w:rPr>
      </w:r>
    </w:p>
    <w:p>
      <w:pPr>
        <w:pStyle w:val="916"/>
        <w:ind w:firstLine="0"/>
        <w:jc w:val="center"/>
        <w:spacing w:before="0" w:after="0" w:line="360" w:lineRule="auto"/>
        <w:rPr>
          <w:i w:val="0"/>
        </w:rPr>
      </w:pPr>
      <w:r>
        <w:rPr>
          <w:i w:val="0"/>
        </w:rPr>
        <w:t xml:space="preserve">За 8 месяцев</w:t>
      </w:r>
      <w:r>
        <w:rPr>
          <w:i w:val="0"/>
        </w:rPr>
        <w:t xml:space="preserve"> 20</w:t>
      </w:r>
      <w:r>
        <w:rPr>
          <w:i w:val="0"/>
        </w:rPr>
        <w:t xml:space="preserve">25</w:t>
      </w:r>
      <w:r>
        <w:rPr>
          <w:i w:val="0"/>
        </w:rPr>
        <w:t xml:space="preserve"> года.</w:t>
      </w:r>
      <w:r>
        <w:rPr>
          <w:i w:val="0"/>
        </w:rPr>
      </w:r>
      <w:r>
        <w:rPr>
          <w:i w:val="0"/>
        </w:rPr>
      </w:r>
    </w:p>
    <w:p>
      <w:pPr>
        <w:pStyle w:val="916"/>
        <w:ind w:firstLine="0"/>
        <w:jc w:val="center"/>
        <w:spacing w:before="0" w:after="0" w:line="360" w:lineRule="auto"/>
        <w:rPr>
          <w:i w:val="0"/>
        </w:rPr>
      </w:pPr>
      <w:r>
        <w:rPr>
          <w:i w:val="0"/>
        </w:rPr>
        <w:t xml:space="preserve">Федеральный государственный контроль (надзор) в области железнодорожного транспорта</w:t>
      </w:r>
      <w:r>
        <w:rPr>
          <w:i w:val="0"/>
        </w:rPr>
      </w:r>
      <w:r>
        <w:rPr>
          <w:i w:val="0"/>
        </w:rPr>
      </w:r>
    </w:p>
    <w:p>
      <w:pPr>
        <w:pStyle w:val="909"/>
        <w:jc w:val="center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jc w:val="center"/>
        <w:rPr>
          <w:rFonts w:ascii="Times New Roman" w:hAnsi="Times New Roman" w:eastAsia="Times New Roman"/>
          <w:b/>
          <w:bCs/>
          <w:iCs/>
          <w:sz w:val="28"/>
          <w:szCs w:val="28"/>
        </w:rPr>
      </w:pPr>
      <w:r>
        <w:rPr>
          <w:rFonts w:ascii="Times New Roman" w:hAnsi="Times New Roman" w:eastAsia="Times New Roman"/>
          <w:b/>
          <w:bCs/>
          <w:iCs/>
          <w:sz w:val="28"/>
          <w:szCs w:val="28"/>
        </w:rPr>
        <w:t xml:space="preserve">г. </w:t>
      </w:r>
      <w:r>
        <w:rPr>
          <w:rFonts w:ascii="Times New Roman" w:hAnsi="Times New Roman" w:eastAsia="Times New Roman"/>
          <w:b/>
          <w:bCs/>
          <w:iCs/>
          <w:sz w:val="28"/>
          <w:szCs w:val="28"/>
        </w:rPr>
        <w:t xml:space="preserve">Набережные Челны</w:t>
      </w:r>
      <w:r>
        <w:rPr>
          <w:rFonts w:ascii="Times New Roman" w:hAnsi="Times New Roman" w:eastAsia="Times New Roman"/>
          <w:b/>
          <w:bCs/>
          <w:iCs/>
          <w:sz w:val="28"/>
          <w:szCs w:val="28"/>
        </w:rPr>
      </w:r>
      <w:r>
        <w:rPr>
          <w:rFonts w:ascii="Times New Roman" w:hAnsi="Times New Roman" w:eastAsia="Times New Roman"/>
          <w:b/>
          <w:bCs/>
          <w:iCs/>
          <w:sz w:val="28"/>
          <w:szCs w:val="28"/>
        </w:rPr>
      </w:r>
    </w:p>
    <w:p>
      <w:pPr>
        <w:jc w:val="center"/>
        <w:rPr>
          <w:rFonts w:ascii="Times New Roman" w:hAnsi="Times New Roman" w:eastAsia="Times New Roman"/>
          <w:b/>
          <w:bCs/>
          <w:iCs/>
          <w:sz w:val="28"/>
          <w:szCs w:val="28"/>
        </w:rPr>
      </w:pPr>
      <w:r>
        <w:rPr>
          <w:rFonts w:ascii="Times New Roman" w:hAnsi="Times New Roman" w:eastAsia="Times New Roman"/>
          <w:b/>
          <w:bCs/>
          <w:iCs/>
          <w:sz w:val="28"/>
          <w:szCs w:val="28"/>
        </w:rPr>
        <w:t xml:space="preserve">202</w:t>
      </w:r>
      <w:r>
        <w:rPr>
          <w:rFonts w:ascii="Times New Roman" w:hAnsi="Times New Roman" w:eastAsia="Times New Roman"/>
          <w:b/>
          <w:bCs/>
          <w:iCs/>
          <w:sz w:val="28"/>
          <w:szCs w:val="28"/>
        </w:rPr>
        <w:t xml:space="preserve">5</w:t>
      </w:r>
      <w:r>
        <w:rPr>
          <w:rFonts w:ascii="Times New Roman" w:hAnsi="Times New Roman" w:eastAsia="Times New Roman"/>
          <w:b/>
          <w:bCs/>
          <w:iCs/>
          <w:sz w:val="28"/>
          <w:szCs w:val="28"/>
        </w:rPr>
        <w:t xml:space="preserve"> год</w:t>
      </w:r>
      <w:r>
        <w:rPr>
          <w:rFonts w:ascii="Times New Roman" w:hAnsi="Times New Roman" w:eastAsia="Times New Roman"/>
          <w:b/>
          <w:bCs/>
          <w:iCs/>
          <w:sz w:val="28"/>
          <w:szCs w:val="28"/>
        </w:rPr>
      </w:r>
      <w:r>
        <w:rPr>
          <w:rFonts w:ascii="Times New Roman" w:hAnsi="Times New Roman" w:eastAsia="Times New Roman"/>
          <w:b/>
          <w:bCs/>
          <w:iCs/>
          <w:sz w:val="28"/>
          <w:szCs w:val="28"/>
        </w:rPr>
      </w:r>
    </w:p>
    <w:p>
      <w:pPr>
        <w:ind w:left="-567" w:firstLine="127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3"/>
        <w:numPr>
          <w:ilvl w:val="0"/>
          <w:numId w:val="24"/>
        </w:numPr>
        <w:jc w:val="center"/>
        <w:spacing w:after="0" w:line="240" w:lineRule="auto"/>
        <w:widowControl w:val="o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Основные положения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13"/>
        <w:jc w:val="center"/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доклад составлен в целях реализации пункта 4.3 паспорта ведомственного приоритетного проекта Федеральной службы по надзору в сфер</w:t>
      </w:r>
      <w:r>
        <w:rPr>
          <w:rFonts w:ascii="Times New Roman" w:hAnsi="Times New Roman"/>
          <w:sz w:val="28"/>
          <w:szCs w:val="28"/>
        </w:rPr>
        <w:t xml:space="preserve">е транспорта на основании Методических рекомендаций по организации и проведению публичных обсуждений результатов правоприменительной практики, Распоряжения руководителя Федеральной службы по надзору в сфере транспорта В.Ф. Басаргина от 30 марта 2017 года 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ВБ-112-р(фс) «О проведении публичного обсуждения результатов правоприменительной практики Федеральной службы по надзору в сфере транспорта».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Целями правоприменительной практики являются: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913"/>
        <w:numPr>
          <w:ilvl w:val="0"/>
          <w:numId w:val="26"/>
        </w:numPr>
        <w:ind w:left="-567" w:firstLine="106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обеспечение единства практики применения органами государственного контроля (надзора), его подразделени</w:t>
      </w:r>
      <w:r>
        <w:rPr>
          <w:rFonts w:ascii="Times New Roman" w:hAnsi="Times New Roman"/>
          <w:sz w:val="28"/>
          <w:szCs w:val="28"/>
        </w:rPr>
        <w:t xml:space="preserve">ями и территориальными органами федеральных законов и иных нормативных правовых актов Российской Федерации, иных нормативных документов, обязательность применения которых установлена законодательством Российской Федерации (далее - обязательные требования);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3"/>
        <w:numPr>
          <w:ilvl w:val="0"/>
          <w:numId w:val="26"/>
        </w:numPr>
        <w:ind w:left="-567" w:firstLine="106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повышение результативности и эффективности контрольно</w:t>
      </w:r>
      <w:r>
        <w:rPr>
          <w:rFonts w:ascii="Times New Roman" w:hAnsi="Times New Roman"/>
          <w:sz w:val="28"/>
          <w:szCs w:val="28"/>
        </w:rPr>
        <w:t xml:space="preserve">й (</w:t>
      </w:r>
      <w:r>
        <w:rPr>
          <w:rFonts w:ascii="Times New Roman" w:hAnsi="Times New Roman"/>
          <w:sz w:val="28"/>
          <w:szCs w:val="28"/>
        </w:rPr>
        <w:t xml:space="preserve">надзорной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 деятельности.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Задачами анализа правоприменительной практики являются: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913"/>
        <w:numPr>
          <w:ilvl w:val="0"/>
          <w:numId w:val="27"/>
        </w:numPr>
        <w:ind w:left="-567" w:firstLine="106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выявление проблемных вопросов применения органом государственного контроля (надзора), его подразделениями и территориальными органами обязательных требований;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3"/>
        <w:numPr>
          <w:ilvl w:val="0"/>
          <w:numId w:val="27"/>
        </w:numPr>
        <w:ind w:left="-567" w:firstLine="106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выявление избыточных контрольн</w:t>
      </w:r>
      <w:r>
        <w:rPr>
          <w:rFonts w:ascii="Times New Roman" w:hAnsi="Times New Roman"/>
          <w:sz w:val="28"/>
          <w:szCs w:val="28"/>
        </w:rPr>
        <w:t xml:space="preserve">ых (</w:t>
      </w:r>
      <w:r>
        <w:rPr>
          <w:rFonts w:ascii="Times New Roman" w:hAnsi="Times New Roman"/>
          <w:sz w:val="28"/>
          <w:szCs w:val="28"/>
        </w:rPr>
        <w:t xml:space="preserve">надзорных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 функций, подготовка и внесение предложений по их устранению;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3"/>
        <w:numPr>
          <w:ilvl w:val="0"/>
          <w:numId w:val="27"/>
        </w:numPr>
        <w:ind w:left="-567" w:firstLine="106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подготовка предложений по совершенствованию законодательства, выявление типичных нарушений обязательных требований и подготовка предложений по реализации профилактических мероприятий для их предупреждения.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3"/>
        <w:numPr>
          <w:ilvl w:val="0"/>
          <w:numId w:val="24"/>
        </w:num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Задачи и функции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Задачами </w:t>
      </w:r>
      <w:r>
        <w:rPr>
          <w:rFonts w:ascii="Times New Roman" w:hAnsi="Times New Roman"/>
          <w:sz w:val="28"/>
          <w:szCs w:val="28"/>
          <w:u w:val="single"/>
        </w:rPr>
        <w:t xml:space="preserve">Межрегионально</w:t>
      </w:r>
      <w:r>
        <w:rPr>
          <w:rFonts w:ascii="Times New Roman" w:hAnsi="Times New Roman"/>
          <w:sz w:val="28"/>
          <w:szCs w:val="28"/>
          <w:u w:val="single"/>
        </w:rPr>
        <w:t xml:space="preserve">го</w:t>
      </w:r>
      <w:r>
        <w:rPr>
          <w:rFonts w:ascii="Times New Roman" w:hAnsi="Times New Roman"/>
          <w:sz w:val="28"/>
          <w:szCs w:val="28"/>
          <w:u w:val="single"/>
        </w:rPr>
        <w:t xml:space="preserve"> территориально</w:t>
      </w:r>
      <w:r>
        <w:rPr>
          <w:rFonts w:ascii="Times New Roman" w:hAnsi="Times New Roman"/>
          <w:sz w:val="28"/>
          <w:szCs w:val="28"/>
          <w:u w:val="single"/>
        </w:rPr>
        <w:t xml:space="preserve">го</w:t>
      </w:r>
      <w:r>
        <w:rPr>
          <w:rFonts w:ascii="Times New Roman" w:hAnsi="Times New Roman"/>
          <w:sz w:val="28"/>
          <w:szCs w:val="28"/>
          <w:u w:val="single"/>
        </w:rPr>
        <w:t xml:space="preserve"> управлени</w:t>
      </w:r>
      <w:r>
        <w:rPr>
          <w:rFonts w:ascii="Times New Roman" w:hAnsi="Times New Roman"/>
          <w:sz w:val="28"/>
          <w:szCs w:val="28"/>
          <w:u w:val="single"/>
        </w:rPr>
        <w:t xml:space="preserve">я</w:t>
      </w:r>
      <w:r>
        <w:rPr>
          <w:rFonts w:ascii="Times New Roman" w:hAnsi="Times New Roman"/>
          <w:sz w:val="28"/>
          <w:szCs w:val="28"/>
          <w:u w:val="single"/>
        </w:rPr>
        <w:t xml:space="preserve"> Федеральной службы по надзору в сфере транспорта по Приволжскому федеральному округу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(далее – Управление) при осуществлении ф</w:t>
      </w:r>
      <w:r>
        <w:rPr>
          <w:rFonts w:ascii="Times New Roman" w:hAnsi="Times New Roman"/>
          <w:sz w:val="28"/>
          <w:szCs w:val="28"/>
          <w:u w:val="single"/>
        </w:rPr>
        <w:t xml:space="preserve">едеральн</w:t>
      </w:r>
      <w:r>
        <w:rPr>
          <w:rFonts w:ascii="Times New Roman" w:hAnsi="Times New Roman"/>
          <w:sz w:val="28"/>
          <w:szCs w:val="28"/>
          <w:u w:val="single"/>
        </w:rPr>
        <w:t xml:space="preserve">ого</w:t>
      </w:r>
      <w:r>
        <w:rPr>
          <w:rFonts w:ascii="Times New Roman" w:hAnsi="Times New Roman"/>
          <w:sz w:val="28"/>
          <w:szCs w:val="28"/>
          <w:u w:val="single"/>
        </w:rPr>
        <w:t xml:space="preserve"> государственн</w:t>
      </w:r>
      <w:r>
        <w:rPr>
          <w:rFonts w:ascii="Times New Roman" w:hAnsi="Times New Roman"/>
          <w:sz w:val="28"/>
          <w:szCs w:val="28"/>
          <w:u w:val="single"/>
        </w:rPr>
        <w:t xml:space="preserve">ого</w:t>
      </w:r>
      <w:r>
        <w:rPr>
          <w:rFonts w:ascii="Times New Roman" w:hAnsi="Times New Roman"/>
          <w:sz w:val="28"/>
          <w:szCs w:val="28"/>
          <w:u w:val="single"/>
        </w:rPr>
        <w:t xml:space="preserve"> контрол</w:t>
      </w:r>
      <w:r>
        <w:rPr>
          <w:rFonts w:ascii="Times New Roman" w:hAnsi="Times New Roman"/>
          <w:sz w:val="28"/>
          <w:szCs w:val="28"/>
          <w:u w:val="single"/>
        </w:rPr>
        <w:t xml:space="preserve">я</w:t>
      </w:r>
      <w:r>
        <w:rPr>
          <w:rFonts w:ascii="Times New Roman" w:hAnsi="Times New Roman"/>
          <w:sz w:val="28"/>
          <w:szCs w:val="28"/>
          <w:u w:val="single"/>
        </w:rPr>
        <w:t xml:space="preserve"> (надзор</w:t>
      </w:r>
      <w:r>
        <w:rPr>
          <w:rFonts w:ascii="Times New Roman" w:hAnsi="Times New Roman"/>
          <w:sz w:val="28"/>
          <w:szCs w:val="28"/>
          <w:u w:val="single"/>
        </w:rPr>
        <w:t xml:space="preserve">а</w:t>
      </w:r>
      <w:r>
        <w:rPr>
          <w:rFonts w:ascii="Times New Roman" w:hAnsi="Times New Roman"/>
          <w:sz w:val="28"/>
          <w:szCs w:val="28"/>
          <w:u w:val="single"/>
        </w:rPr>
        <w:t xml:space="preserve">) в области железнодорожного транспорта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являются: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913"/>
        <w:numPr>
          <w:ilvl w:val="0"/>
          <w:numId w:val="28"/>
        </w:numPr>
        <w:ind w:left="-567" w:firstLine="106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(надзор) за соблюдением контролируемыми лицами, осуществляющими деятельность в сфере железнодорожного транспорта, обязательных требований, установленных техническими регламентами Таможен</w:t>
      </w:r>
      <w:r>
        <w:rPr>
          <w:rFonts w:ascii="Times New Roman" w:hAnsi="Times New Roman"/>
          <w:sz w:val="28"/>
          <w:szCs w:val="28"/>
        </w:rPr>
        <w:t xml:space="preserve">ного союза, федеральными законами и принимаемыми в соответствии с ними иными нормативными правовыми актами Российской Федерации, а также оценка исполнения решений, принятых по результатам профилактических и (или) контрольно-надзорных мероприятий в области: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3"/>
        <w:numPr>
          <w:ilvl w:val="0"/>
          <w:numId w:val="28"/>
        </w:numPr>
        <w:ind w:left="-567" w:firstLine="106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безопасности движения и эксплуатации железнодорожного транспорта;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3"/>
        <w:numPr>
          <w:ilvl w:val="0"/>
          <w:numId w:val="28"/>
        </w:numPr>
        <w:ind w:left="-567" w:firstLine="106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пожарной безопасности железнодорожного подвижного состава;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3"/>
        <w:numPr>
          <w:ilvl w:val="0"/>
          <w:numId w:val="28"/>
        </w:numPr>
        <w:ind w:left="-567" w:firstLine="106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обеспечения доступности для инвалидов объектов инфраструктуры железнодорожного транспорта общего пользования, железнодорожного подвижного состава и предоставляемых услуг;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3"/>
        <w:numPr>
          <w:ilvl w:val="0"/>
          <w:numId w:val="28"/>
        </w:numPr>
        <w:ind w:left="-567" w:firstLine="106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лицензирования отдельных видов деятельности на железнодорожном транспорте, в том числе проверки возможности выполнения соискателем лицензии и лицензиатом лицензионных требований;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3"/>
        <w:numPr>
          <w:ilvl w:val="0"/>
          <w:numId w:val="28"/>
        </w:numPr>
        <w:ind w:left="-567" w:firstLine="106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соблюдения требований технических регламентов Таможенного союза к продукции железнодорожного назначения;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3"/>
        <w:numPr>
          <w:ilvl w:val="0"/>
          <w:numId w:val="28"/>
        </w:numPr>
        <w:ind w:left="-567" w:firstLine="106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соответствия установленным требованиям функциональных подсистем единой государственной системы предупреждения и ликвидации чрезвычайных ситуаций в сфере железнодорожного транспорта;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3"/>
        <w:numPr>
          <w:ilvl w:val="0"/>
          <w:numId w:val="28"/>
        </w:numPr>
        <w:ind w:left="-567" w:firstLine="106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исполнения перевозчиком обязанности страховать свою гражданскую ответственность за причинение вреда жизни, здоровью, имуществу пассажиров при перевозках;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3"/>
        <w:numPr>
          <w:ilvl w:val="0"/>
          <w:numId w:val="28"/>
        </w:numPr>
        <w:ind w:left="-567" w:firstLine="106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экзаменов и вы</w:t>
      </w:r>
      <w:r>
        <w:rPr>
          <w:rFonts w:ascii="Times New Roman" w:hAnsi="Times New Roman"/>
          <w:sz w:val="28"/>
          <w:szCs w:val="28"/>
        </w:rPr>
        <w:t xml:space="preserve">дача по результатам их успешной сдачи свидетельств на право на управления курсирующими по железнодорожным путям локомотивам, мотор-вагонным подвижным составом и (или) специальным самоходным подвижным составом, а также ведение реестра выданных свидетельств.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3"/>
        <w:numPr>
          <w:ilvl w:val="0"/>
          <w:numId w:val="35"/>
        </w:num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требований по обеспечению транспортной безопасности.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</w:r>
      <w:r>
        <w:rPr>
          <w:rFonts w:ascii="Times New Roman" w:hAnsi="Times New Roman"/>
          <w:b/>
          <w:sz w:val="28"/>
          <w:szCs w:val="28"/>
          <w:u w:val="single"/>
        </w:rPr>
      </w:r>
      <w:r>
        <w:rPr>
          <w:rFonts w:ascii="Times New Roman" w:hAnsi="Times New Roman"/>
          <w:b/>
          <w:sz w:val="28"/>
          <w:szCs w:val="28"/>
          <w:u w:val="single"/>
        </w:rPr>
      </w:r>
    </w:p>
    <w:p>
      <w:pPr>
        <w:ind w:left="-567" w:firstLine="709"/>
        <w:jc w:val="center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Контрольная (надзорная) деятельность.</w:t>
      </w:r>
      <w:r>
        <w:rPr>
          <w:rFonts w:ascii="Times New Roman" w:hAnsi="Times New Roman"/>
          <w:b/>
          <w:sz w:val="28"/>
          <w:szCs w:val="28"/>
          <w:u w:val="single"/>
        </w:rPr>
      </w:r>
      <w:r>
        <w:rPr>
          <w:rFonts w:ascii="Times New Roman" w:hAnsi="Times New Roman"/>
          <w:b/>
          <w:sz w:val="28"/>
          <w:szCs w:val="28"/>
          <w:u w:val="single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требованиями ст. 21 Федерального</w:t>
      </w:r>
      <w:r>
        <w:rPr>
          <w:rFonts w:ascii="Times New Roman" w:hAnsi="Times New Roman"/>
          <w:sz w:val="28"/>
          <w:szCs w:val="28"/>
        </w:rPr>
        <w:t xml:space="preserve"> закона от 31.07.2020 № 248-ФЗ «</w:t>
      </w:r>
      <w:r>
        <w:rPr>
          <w:rFonts w:ascii="Times New Roman" w:hAnsi="Times New Roman"/>
          <w:sz w:val="28"/>
          <w:szCs w:val="28"/>
        </w:rPr>
        <w:t xml:space="preserve">О государственном контроле (надзоре) и муниципальном контроле в Российской Федер</w:t>
      </w:r>
      <w:r>
        <w:rPr>
          <w:rFonts w:ascii="Times New Roman" w:hAnsi="Times New Roman"/>
          <w:sz w:val="28"/>
          <w:szCs w:val="28"/>
        </w:rPr>
        <w:t xml:space="preserve">ации» (далее – Федеральный закон № 248) </w:t>
      </w:r>
      <w:r>
        <w:rPr>
          <w:rFonts w:ascii="Times New Roman" w:hAnsi="Times New Roman"/>
          <w:sz w:val="28"/>
          <w:szCs w:val="28"/>
        </w:rPr>
        <w:t xml:space="preserve">федеральный государственный контроль (надзор) в области железнодорожного транспорта осуществляется на осно</w:t>
      </w:r>
      <w:r>
        <w:rPr>
          <w:rFonts w:ascii="Times New Roman" w:hAnsi="Times New Roman"/>
          <w:sz w:val="28"/>
          <w:szCs w:val="28"/>
        </w:rPr>
        <w:t xml:space="preserve">ве управления рисками причинения вреда (ущерба). В зависимости от риска причинения вреда (ущерба) охраняемым законом ценностям определяется выбор профилактических мероприятий и контрольных (надзорных) мероприятий, их содержание, интенсивность и результаты.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Управлением </w:t>
      </w:r>
      <w:r>
        <w:rPr>
          <w:rFonts w:ascii="Times New Roman" w:hAnsi="Times New Roman"/>
          <w:sz w:val="28"/>
          <w:szCs w:val="28"/>
        </w:rPr>
        <w:t xml:space="preserve">на постоянной основе ведется </w:t>
      </w:r>
      <w:r>
        <w:rPr>
          <w:rFonts w:ascii="Times New Roman" w:hAnsi="Times New Roman"/>
          <w:sz w:val="28"/>
          <w:szCs w:val="28"/>
        </w:rPr>
        <w:t xml:space="preserve">работа по </w:t>
      </w:r>
      <w:r>
        <w:rPr>
          <w:rFonts w:ascii="Times New Roman" w:hAnsi="Times New Roman"/>
          <w:sz w:val="28"/>
          <w:szCs w:val="28"/>
        </w:rPr>
        <w:t xml:space="preserve">отнесению объектов контроля к одной из категорий риска причинения вреда (ущерба)</w:t>
      </w:r>
      <w:r>
        <w:rPr>
          <w:rFonts w:ascii="Times New Roman" w:hAnsi="Times New Roman"/>
          <w:sz w:val="28"/>
          <w:szCs w:val="28"/>
        </w:rPr>
        <w:t xml:space="preserve">, в соответствии с Положением</w:t>
      </w:r>
      <w:r>
        <w:rPr>
          <w:rFonts w:ascii="Times New Roman" w:hAnsi="Times New Roman"/>
          <w:sz w:val="28"/>
          <w:szCs w:val="28"/>
        </w:rPr>
        <w:t xml:space="preserve"> о федеральном государственном контроле (надзоре) в обла</w:t>
      </w:r>
      <w:r>
        <w:rPr>
          <w:rFonts w:ascii="Times New Roman" w:hAnsi="Times New Roman"/>
          <w:sz w:val="28"/>
          <w:szCs w:val="28"/>
        </w:rPr>
        <w:t xml:space="preserve">сти железнодорожного транспорта», утвержденным </w:t>
      </w:r>
      <w:r>
        <w:rPr>
          <w:rFonts w:ascii="Times New Roman" w:hAnsi="Times New Roman"/>
          <w:sz w:val="28"/>
          <w:szCs w:val="28"/>
        </w:rPr>
        <w:t xml:space="preserve">Постановление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 Правительства РФ от 25.06.2021 N 991 </w:t>
      </w:r>
      <w:r>
        <w:rPr>
          <w:rFonts w:ascii="Times New Roman" w:hAnsi="Times New Roman"/>
          <w:sz w:val="28"/>
          <w:szCs w:val="28"/>
        </w:rPr>
        <w:t xml:space="preserve">(далее – Положение).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размещения сведений об объектах контроля в открытом доступе сети Интернет посредством системы ЕРВК </w:t>
      </w:r>
      <w:r>
        <w:rPr>
          <w:rFonts w:ascii="Times New Roman" w:hAnsi="Times New Roman"/>
          <w:sz w:val="28"/>
          <w:szCs w:val="28"/>
        </w:rPr>
        <w:t xml:space="preserve">нами</w:t>
      </w:r>
      <w:r>
        <w:rPr>
          <w:rFonts w:ascii="Times New Roman" w:hAnsi="Times New Roman"/>
          <w:sz w:val="28"/>
          <w:szCs w:val="28"/>
        </w:rPr>
        <w:t xml:space="preserve"> сформирован реестр объектов контроля (</w:t>
      </w:r>
      <w:r>
        <w:rPr>
          <w:rFonts w:ascii="Times New Roman" w:hAnsi="Times New Roman"/>
          <w:sz w:val="28"/>
          <w:szCs w:val="28"/>
        </w:rPr>
        <w:t xml:space="preserve">4454</w:t>
      </w:r>
      <w:r>
        <w:rPr>
          <w:rFonts w:ascii="Times New Roman" w:hAnsi="Times New Roman"/>
          <w:sz w:val="28"/>
          <w:szCs w:val="28"/>
        </w:rPr>
        <w:t xml:space="preserve"> объект</w:t>
      </w:r>
      <w:r>
        <w:rPr>
          <w:rFonts w:ascii="Times New Roman" w:hAnsi="Times New Roman"/>
          <w:sz w:val="28"/>
          <w:szCs w:val="28"/>
        </w:rPr>
        <w:t xml:space="preserve">ов</w:t>
      </w:r>
      <w:r>
        <w:rPr>
          <w:rFonts w:ascii="Times New Roman" w:hAnsi="Times New Roman"/>
          <w:sz w:val="28"/>
          <w:szCs w:val="28"/>
        </w:rPr>
        <w:t xml:space="preserve"> контроля, из них </w:t>
      </w:r>
      <w:r>
        <w:rPr>
          <w:rFonts w:ascii="Times New Roman" w:hAnsi="Times New Roman"/>
          <w:sz w:val="28"/>
          <w:szCs w:val="28"/>
        </w:rPr>
        <w:t xml:space="preserve">40</w:t>
      </w:r>
      <w:r>
        <w:rPr>
          <w:rFonts w:ascii="Times New Roman" w:hAnsi="Times New Roman"/>
          <w:sz w:val="28"/>
          <w:szCs w:val="28"/>
        </w:rPr>
        <w:t xml:space="preserve"> – высокого, </w:t>
      </w:r>
      <w:r>
        <w:rPr>
          <w:rFonts w:ascii="Times New Roman" w:hAnsi="Times New Roman"/>
          <w:sz w:val="28"/>
          <w:szCs w:val="28"/>
        </w:rPr>
        <w:t xml:space="preserve">161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среднего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3982– умеренного, 7 – низкого</w:t>
      </w:r>
      <w:r>
        <w:rPr>
          <w:rFonts w:ascii="Times New Roman" w:hAnsi="Times New Roman"/>
          <w:sz w:val="28"/>
          <w:szCs w:val="28"/>
        </w:rPr>
        <w:t xml:space="preserve">).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Управлением ведется постоянная работа по актуализации реестра объектов контроля.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 что, если на железнодорожных путях предприятия допущены нарушения безопасности движения, при которых </w:t>
      </w:r>
      <w:r>
        <w:rPr>
          <w:rFonts w:ascii="Times New Roman" w:hAnsi="Times New Roman"/>
          <w:sz w:val="28"/>
          <w:szCs w:val="28"/>
        </w:rPr>
        <w:t xml:space="preserve">поврежде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 железнодорожн</w:t>
      </w:r>
      <w:r>
        <w:rPr>
          <w:rFonts w:ascii="Times New Roman" w:hAnsi="Times New Roman"/>
          <w:sz w:val="28"/>
          <w:szCs w:val="28"/>
        </w:rPr>
        <w:t xml:space="preserve">ый</w:t>
      </w:r>
      <w:r>
        <w:rPr>
          <w:rFonts w:ascii="Times New Roman" w:hAnsi="Times New Roman"/>
          <w:sz w:val="28"/>
          <w:szCs w:val="28"/>
        </w:rPr>
        <w:t xml:space="preserve"> подвижно</w:t>
      </w:r>
      <w:r>
        <w:rPr>
          <w:rFonts w:ascii="Times New Roman" w:hAnsi="Times New Roman"/>
          <w:sz w:val="28"/>
          <w:szCs w:val="28"/>
        </w:rPr>
        <w:t xml:space="preserve">й состав, </w:t>
      </w:r>
      <w:r>
        <w:rPr>
          <w:rFonts w:ascii="Times New Roman" w:hAnsi="Times New Roman"/>
          <w:sz w:val="28"/>
          <w:szCs w:val="28"/>
        </w:rPr>
        <w:t xml:space="preserve">повреждены объекты инфраструктуры железнодорожного транспорта общего пользования, повреждены железнодорожные пути необщего пользов</w:t>
      </w:r>
      <w:r>
        <w:rPr>
          <w:rFonts w:ascii="Times New Roman" w:hAnsi="Times New Roman"/>
          <w:sz w:val="28"/>
          <w:szCs w:val="28"/>
        </w:rPr>
        <w:t xml:space="preserve">ания, категория риска меняется </w:t>
      </w:r>
      <w:r>
        <w:rPr>
          <w:rFonts w:ascii="Times New Roman" w:hAnsi="Times New Roman"/>
          <w:sz w:val="28"/>
          <w:szCs w:val="28"/>
        </w:rPr>
        <w:t xml:space="preserve">соответственно тяжести последствий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отношении объектов контроля, отнесенных к категории низкого риска, плановые контрольные (надзорные) мероприятия не проводятся. 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highlight w:val="none"/>
          <w:u w:val="single"/>
        </w:rPr>
      </w:r>
      <w:r>
        <w:rPr>
          <w:rFonts w:ascii="Times New Roman" w:hAnsi="Times New Roman"/>
          <w:b/>
          <w:bCs/>
          <w:sz w:val="28"/>
          <w:szCs w:val="28"/>
          <w:u w:val="single"/>
        </w:rPr>
      </w:r>
      <w:r>
        <w:rPr>
          <w:rFonts w:ascii="Times New Roman" w:hAnsi="Times New Roman"/>
          <w:b/>
          <w:bCs/>
          <w:sz w:val="28"/>
          <w:szCs w:val="28"/>
          <w:u w:val="single"/>
        </w:rPr>
      </w:r>
    </w:p>
    <w:p>
      <w:pPr>
        <w:ind w:left="-567" w:firstLine="709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Расследование допущенных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нарушений безопасности движения</w:t>
      </w:r>
      <w:r>
        <w:rPr>
          <w:rFonts w:ascii="Times New Roman" w:hAnsi="Times New Roman"/>
          <w:b/>
          <w:bCs/>
          <w:sz w:val="28"/>
          <w:szCs w:val="28"/>
          <w:highlight w:val="none"/>
          <w:u w:val="single"/>
        </w:rPr>
      </w:r>
      <w:r>
        <w:rPr>
          <w:rFonts w:ascii="Times New Roman" w:hAnsi="Times New Roman"/>
          <w:b/>
          <w:bCs/>
          <w:sz w:val="28"/>
          <w:szCs w:val="28"/>
          <w:highlight w:val="none"/>
          <w:u w:val="single"/>
        </w:rPr>
      </w:r>
    </w:p>
    <w:p>
      <w:pPr>
        <w:ind w:left="-567" w:firstLine="709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  <w:u w:val="single"/>
        </w:rPr>
      </w:pPr>
      <w:r>
        <w:rPr>
          <w:rFonts w:ascii="Times New Roman" w:hAnsi="Times New Roman"/>
          <w:b/>
          <w:bCs/>
          <w:sz w:val="28"/>
          <w:szCs w:val="28"/>
          <w:highlight w:val="none"/>
          <w:u w:val="single"/>
        </w:rPr>
      </w:r>
      <w:r>
        <w:rPr>
          <w:rFonts w:ascii="Times New Roman" w:hAnsi="Times New Roman"/>
          <w:b/>
          <w:bCs/>
          <w:sz w:val="28"/>
          <w:szCs w:val="28"/>
          <w:highlight w:val="none"/>
          <w:u w:val="single"/>
        </w:rPr>
      </w:r>
      <w:r>
        <w:rPr>
          <w:rFonts w:ascii="Times New Roman" w:hAnsi="Times New Roman"/>
          <w:b/>
          <w:bCs/>
          <w:sz w:val="28"/>
          <w:szCs w:val="28"/>
          <w:highlight w:val="none"/>
          <w:u w:val="single"/>
        </w:rPr>
      </w:r>
    </w:p>
    <w:p>
      <w:pPr>
        <w:ind w:firstLine="708"/>
        <w:jc w:val="both"/>
        <w:spacing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За 8 месяцев на те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рритории, поднадзорной МТУ Ространснадзора по ПФО аварий и крушений не допущено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. </w:t>
      </w:r>
      <w:r>
        <w:rPr>
          <w:rFonts w:ascii="Arial" w:hAnsi="Arial" w:eastAsia="Arial" w:cs="Arial"/>
          <w:color w:val="2c2d2e"/>
          <w:sz w:val="23"/>
          <w:highlight w:val="white"/>
        </w:rPr>
        <w:t xml:space="preserve">  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ind w:firstLine="708"/>
        <w:jc w:val="both"/>
        <w:spacing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 xml:space="preserve">Допущено 22 схода железнодорожного подвижного состава, 2 столкновения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 xml:space="preserve">железнодорожного подвижн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 xml:space="preserve">ого состава с другим ж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 xml:space="preserve">елезнодорожным подвижным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 xml:space="preserve"> составом, 147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 xml:space="preserve"> иных событий, связанных с нарушением правил безопасности движения и эксплуатации железнодорожного транспорта. МТУ Ространснадзора по ПФО проведено 17 ра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 xml:space="preserve">сследований событий, связанных с нарушением правил безопасности движения, из них: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pStyle w:val="913"/>
        <w:numPr>
          <w:ilvl w:val="0"/>
          <w:numId w:val="39"/>
        </w:numPr>
        <w:ind w:left="0" w:right="0" w:firstLine="360"/>
        <w:jc w:val="both"/>
        <w:spacing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 xml:space="preserve">15 расследований по пункту 7 Положения – наличие особого мнения одного из членов комиссии,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pStyle w:val="913"/>
        <w:numPr>
          <w:ilvl w:val="0"/>
          <w:numId w:val="39"/>
        </w:numPr>
        <w:ind w:left="0" w:right="0" w:firstLine="360"/>
        <w:jc w:val="both"/>
        <w:spacing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 xml:space="preserve">2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 xml:space="preserve"> случая столкновения железнодорожного подвижн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 xml:space="preserve">ого состава с транспортным средством на железнодорожном переезде, в результате которого погибли пассажиры транспортного средства.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 xml:space="preserve">По всем транспортным происшествиям и событиям, расследуемым Управлением, сформированы материалы расследования в полном объёме.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tbl>
      <w:tblPr>
        <w:tblStyle w:val="934"/>
        <w:tblW w:w="0" w:type="auto"/>
        <w:tblLook w:val="04A0" w:firstRow="1" w:lastRow="0" w:firstColumn="1" w:lastColumn="0" w:noHBand="0" w:noVBand="1"/>
      </w:tblPr>
      <w:tblGrid>
        <w:gridCol w:w="4260"/>
        <w:gridCol w:w="1485"/>
        <w:gridCol w:w="1425"/>
        <w:gridCol w:w="1305"/>
        <w:gridCol w:w="1305"/>
      </w:tblGrid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60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10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10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</w:rPr>
              <w:t xml:space="preserve">2025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60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</w:rPr>
              <w:t xml:space="preserve">Общее</w:t>
              <w:br/>
              <w:t xml:space="preserve">пользование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</w:rPr>
              <w:t xml:space="preserve">Необщее</w:t>
              <w:br/>
              <w:t xml:space="preserve">пользование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</w:rPr>
              <w:t xml:space="preserve">Общее</w:t>
              <w:br/>
              <w:t xml:space="preserve">пользование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</w:rPr>
              <w:t xml:space="preserve">Необщее</w:t>
              <w:br/>
              <w:t xml:space="preserve">пользование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60" w:type="dxa"/>
            <w:vAlign w:val="bottom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Крушение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60" w:type="dxa"/>
            <w:vAlign w:val="bottom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Авария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60" w:type="dxa"/>
            <w:vAlign w:val="top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Сход, столкновение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</w:rPr>
              <w:t xml:space="preserve">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60" w:type="dxa"/>
            <w:vAlign w:val="top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Дтп на переезде/ вне переезда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16/4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  <w:vertAlign w:val="baseline"/>
              </w:rPr>
              <w:t xml:space="preserve">2/0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10/1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highlight w:val="none"/>
                <w:u w:val="none"/>
                <w:vertAlign w:val="baseline"/>
              </w:rPr>
              <w:t xml:space="preserve">3/0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 территории, поднадзорной Упр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авлению, за 8 месяцев 2025 года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допущено 10 случаев травмирования железнодорожным транспортом несовершеннолетних граждан, из них 6 случаев смертельных.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целях установления соответствия объектов инфраструктуры требованиям законодательства Российской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Федерации в области железнодорожного транспорта Управлением проведено 4 выездных обследования, 2 наблюдение за соблюдением обязательных требований (мониторинг безопасности), объявлено 19 Предостережений о недопустимости нарушения обязательных требований.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рамках работы, напр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авленной на профилактику непроизводственного травматизма, организована работа с местными органами власти и субъектами железнодорожного транспорта. Принято участие  в 3 совещаниях региональных комиссий по безопасности движения, опубликовано 6 статей в СМИ.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highlight w:val="white"/>
          <w:u w:val="single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highlight w:val="white"/>
          <w:u w:val="single"/>
        </w:rPr>
        <w:t xml:space="preserve">Аварийность на железнодорожных переездах общего пользования</w:t>
      </w:r>
      <w:r>
        <w:rPr>
          <w:rFonts w:ascii="Times New Roman" w:hAnsi="Times New Roman"/>
          <w:b/>
          <w:color w:val="000000" w:themeColor="text1"/>
          <w:sz w:val="28"/>
          <w:szCs w:val="28"/>
          <w:highlight w:val="white"/>
          <w:u w:val="single"/>
        </w:rPr>
      </w:r>
      <w:r>
        <w:rPr>
          <w:rFonts w:ascii="Times New Roman" w:hAnsi="Times New Roman"/>
          <w:b/>
          <w:color w:val="000000" w:themeColor="text1"/>
          <w:sz w:val="28"/>
          <w:szCs w:val="28"/>
          <w:highlight w:val="white"/>
          <w:u w:val="singl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На территории Горьковской и Куйбышевской железных дорог расположено 1684 переезда, из них охраняемых – 376, неохраняемых – 1315, оборудованных автоматической сигнализацией – 1060, 1 категории – 88, 2 категории – 198, 3 категории – 257, 4 категории – 1141.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tbl>
      <w:tblPr>
        <w:tblStyle w:val="934"/>
        <w:tblW w:w="0" w:type="auto"/>
        <w:tblLook w:val="04A0" w:firstRow="1" w:lastRow="0" w:firstColumn="1" w:lastColumn="0" w:noHBand="0" w:noVBand="1"/>
      </w:tblPr>
      <w:tblGrid>
        <w:gridCol w:w="4860"/>
        <w:gridCol w:w="1485"/>
        <w:gridCol w:w="945"/>
        <w:gridCol w:w="945"/>
        <w:gridCol w:w="945"/>
      </w:tblGrid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60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Столкновений на переездах: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vAlign w:val="bottom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прошлый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ГЖД- 11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КБШ- 6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17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60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vAlign w:val="bottom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текущий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ГЖД- 6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КБШ- 2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highlight w:val="none"/>
                <w:u w:val="none"/>
                <w:vertAlign w:val="baseline"/>
              </w:rPr>
              <w:t xml:space="preserve">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60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Погибших в результате столкновений: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vAlign w:val="bottom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прошлый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ГЖД- 7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КБШ- 2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60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vAlign w:val="bottom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текущий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ГЖД- 1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КБШ- 0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60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Пострадавших в результате</w:t>
              <w:br/>
              <w:t xml:space="preserve">столкновений: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vAlign w:val="bottom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прошлый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ГЖД- 4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КБШ- 4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none"/>
              </w:rPr>
              <w:t xml:space="preserve">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60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5" w:type="dxa"/>
            <w:vAlign w:val="bottom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текущий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ГЖД- 1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КБШ- 0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no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По допущенным событиям</w:t>
      </w:r>
      <w:r>
        <w:rPr>
          <w:rFonts w:ascii="Times New Roman" w:hAnsi="Times New Roman"/>
          <w:sz w:val="28"/>
          <w:szCs w:val="28"/>
          <w:highlight w:val="white"/>
        </w:rPr>
        <w:t xml:space="preserve">, связанны</w:t>
      </w:r>
      <w:r>
        <w:rPr>
          <w:rFonts w:ascii="Times New Roman" w:hAnsi="Times New Roman"/>
          <w:sz w:val="28"/>
          <w:szCs w:val="28"/>
          <w:highlight w:val="white"/>
        </w:rPr>
        <w:t xml:space="preserve">м</w:t>
      </w:r>
      <w:r>
        <w:rPr>
          <w:rFonts w:ascii="Times New Roman" w:hAnsi="Times New Roman"/>
          <w:sz w:val="28"/>
          <w:szCs w:val="28"/>
          <w:highlight w:val="white"/>
        </w:rPr>
        <w:t xml:space="preserve"> с нарушением правил безопасности движения и эксплуатации железнодорожного транспорта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организовано и п</w:t>
      </w:r>
      <w:r>
        <w:rPr>
          <w:rFonts w:ascii="Times New Roman" w:hAnsi="Times New Roman"/>
          <w:sz w:val="28"/>
          <w:szCs w:val="28"/>
          <w:highlight w:val="white"/>
        </w:rPr>
        <w:t xml:space="preserve">роводятся </w:t>
      </w:r>
      <w:r>
        <w:rPr>
          <w:rFonts w:ascii="Times New Roman" w:hAnsi="Times New Roman"/>
          <w:sz w:val="28"/>
          <w:szCs w:val="28"/>
          <w:highlight w:val="white"/>
        </w:rPr>
        <w:t xml:space="preserve"> наблюдения</w:t>
      </w:r>
      <w:r>
        <w:rPr>
          <w:rFonts w:ascii="Times New Roman" w:hAnsi="Times New Roman"/>
          <w:sz w:val="28"/>
          <w:szCs w:val="28"/>
          <w:highlight w:val="white"/>
        </w:rPr>
        <w:t xml:space="preserve"> за соблюдением обязательных требований (мониторинг безопасности)</w:t>
      </w:r>
      <w:r>
        <w:rPr>
          <w:rFonts w:ascii="Times New Roman" w:hAnsi="Times New Roman"/>
          <w:sz w:val="28"/>
          <w:szCs w:val="28"/>
          <w:highlight w:val="white"/>
        </w:rPr>
        <w:t xml:space="preserve">, по итогам которых объявлены Предостережения</w:t>
      </w:r>
      <w:r>
        <w:rPr>
          <w:rFonts w:ascii="Times New Roman" w:hAnsi="Times New Roman"/>
          <w:sz w:val="28"/>
          <w:szCs w:val="28"/>
          <w:highlight w:val="white"/>
        </w:rPr>
        <w:t xml:space="preserve"> о недопустимости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нарушения обязательных требований.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left="-567" w:firstLine="709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white"/>
          <w:u w:val="singl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  <w:u w:val="single"/>
        </w:rPr>
      </w:r>
      <w:r>
        <w:rPr>
          <w:rFonts w:ascii="Times New Roman" w:hAnsi="Times New Roman"/>
          <w:b/>
          <w:bCs/>
          <w:sz w:val="28"/>
          <w:szCs w:val="28"/>
          <w:highlight w:val="white"/>
          <w:u w:val="single"/>
        </w:rPr>
      </w:r>
      <w:r>
        <w:rPr>
          <w:rFonts w:ascii="Times New Roman" w:hAnsi="Times New Roman"/>
          <w:b/>
          <w:bCs/>
          <w:sz w:val="28"/>
          <w:szCs w:val="28"/>
          <w:highlight w:val="white"/>
          <w:u w:val="single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  <w:u w:val="single"/>
        </w:rPr>
      </w:pPr>
      <w:r>
        <w:rPr>
          <w:rFonts w:ascii="Times New Roman" w:hAnsi="Times New Roman"/>
          <w:b/>
          <w:sz w:val="28"/>
          <w:szCs w:val="28"/>
          <w:highlight w:val="white"/>
          <w:u w:val="single"/>
        </w:rPr>
      </w:r>
      <w:r>
        <w:rPr>
          <w:rFonts w:ascii="Times New Roman" w:hAnsi="Times New Roman"/>
          <w:b/>
          <w:sz w:val="28"/>
          <w:szCs w:val="28"/>
          <w:highlight w:val="white"/>
          <w:u w:val="single"/>
        </w:rPr>
      </w:r>
      <w:r>
        <w:rPr>
          <w:rFonts w:ascii="Times New Roman" w:hAnsi="Times New Roman"/>
          <w:b/>
          <w:sz w:val="28"/>
          <w:szCs w:val="28"/>
          <w:highlight w:val="white"/>
          <w:u w:val="single"/>
        </w:rPr>
      </w:r>
    </w:p>
    <w:p>
      <w:pPr>
        <w:ind w:left="-567" w:right="0" w:firstLine="567"/>
        <w:jc w:val="center"/>
        <w:spacing w:after="0" w:afterAutospacing="0" w:line="345" w:lineRule="exact"/>
        <w:rPr>
          <w:rFonts w:ascii="Times New Roman" w:hAnsi="Times New Roman"/>
          <w:b/>
          <w:bCs/>
          <w:sz w:val="28"/>
          <w:szCs w:val="28"/>
          <w:highlight w:val="white"/>
          <w:u w:val="single"/>
        </w:rPr>
      </w:pPr>
      <w:r>
        <w:rPr>
          <w:rFonts w:ascii="Times New Roman" w:hAnsi="Times New Roman"/>
          <w:b/>
          <w:sz w:val="28"/>
          <w:szCs w:val="28"/>
          <w:highlight w:val="white"/>
          <w:u w:val="single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highlight w:val="white"/>
          <w:u w:val="single"/>
        </w:rPr>
        <w:t xml:space="preserve">Контрольные (надзорные) мероприятия</w:t>
      </w:r>
      <w:r>
        <w:rPr>
          <w:rFonts w:ascii="Times New Roman" w:hAnsi="Times New Roman"/>
          <w:b/>
          <w:bCs/>
          <w:sz w:val="28"/>
          <w:szCs w:val="28"/>
          <w:highlight w:val="white"/>
          <w:u w:val="single"/>
        </w:rPr>
      </w:r>
      <w:r>
        <w:rPr>
          <w:rFonts w:ascii="Times New Roman" w:hAnsi="Times New Roman"/>
          <w:b/>
          <w:bCs/>
          <w:sz w:val="28"/>
          <w:szCs w:val="28"/>
          <w:highlight w:val="white"/>
          <w:u w:val="single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2"/>
        <w:ind w:left="-567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Основанием для проведения контрольных (надзорных) мероприятий, </w:t>
      </w:r>
      <w:r>
        <w:rPr>
          <w:sz w:val="28"/>
          <w:szCs w:val="28"/>
        </w:rPr>
        <w:t xml:space="preserve"> может быть: </w:t>
      </w:r>
      <w:r>
        <w:rPr>
          <w:sz w:val="28"/>
          <w:szCs w:val="28"/>
        </w:rPr>
      </w:r>
      <w:bookmarkStart w:id="987" w:name="P987"/>
      <w:r>
        <w:rPr>
          <w:sz w:val="28"/>
          <w:szCs w:val="28"/>
        </w:rPr>
      </w:r>
      <w:bookmarkEnd w:id="987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2"/>
        <w:numPr>
          <w:ilvl w:val="0"/>
          <w:numId w:val="38"/>
        </w:numPr>
        <w:ind w:left="-567" w:right="0" w:firstLine="9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у контрольного (надзорного) органа сведений о причинении вреда (ущерба) или об угрозе причинения вреда (ущерба) охраняемым законом ценностям;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2"/>
        <w:numPr>
          <w:ilvl w:val="0"/>
          <w:numId w:val="38"/>
        </w:numPr>
        <w:ind w:left="-567" w:right="0" w:firstLine="9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наступление сроков проведения контрольных (надзорных) мероприятий, включенных в план проведения контрольных (надзорных) мероприятий;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2"/>
        <w:numPr>
          <w:ilvl w:val="0"/>
          <w:numId w:val="38"/>
        </w:numPr>
        <w:ind w:left="-567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требование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2"/>
        <w:numPr>
          <w:ilvl w:val="0"/>
          <w:numId w:val="38"/>
        </w:numPr>
        <w:ind w:left="-567" w:right="0" w:firstLine="9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истечение срока исполнения решения контрольного (надзорного) органа об устранении выявленного нарушения обязательных требований;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2"/>
        <w:numPr>
          <w:ilvl w:val="0"/>
          <w:numId w:val="38"/>
        </w:numPr>
        <w:ind w:left="-567" w:right="0" w:firstLine="91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2"/>
        <w:numPr>
          <w:ilvl w:val="0"/>
          <w:numId w:val="38"/>
        </w:numPr>
        <w:ind w:left="-567" w:right="0" w:firstLine="9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у контрольного (надзорного) органа сведений об осуществлении деятельности без уведомления о начале осуществления предпринимательской деятельности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2"/>
        <w:numPr>
          <w:ilvl w:val="0"/>
          <w:numId w:val="38"/>
        </w:numPr>
        <w:ind w:left="-567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уклонение контролируемого лица от проведения обязательного профилактического визита.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2"/>
        <w:ind w:left="-567" w:right="0" w:firstLine="1106"/>
        <w:jc w:val="both"/>
        <w:spacing w:before="0" w:beforeAutospacing="0" w:after="0" w:afterAutospacing="0" w:line="345" w:lineRule="exact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Контрольные (назорные) мероприятия проводятся с взаимодействием с контролируемым лицом – выездная проверка и</w:t>
      </w:r>
      <w:r>
        <w:rPr>
          <w:sz w:val="28"/>
          <w:szCs w:val="28"/>
        </w:rPr>
      </w:r>
      <w:bookmarkStart w:id="974" w:name="P974"/>
      <w:r>
        <w:rPr>
          <w:sz w:val="28"/>
          <w:szCs w:val="28"/>
        </w:rPr>
      </w:r>
      <w:bookmarkEnd w:id="974"/>
      <w:r>
        <w:rPr>
          <w:sz w:val="28"/>
          <w:szCs w:val="28"/>
        </w:rPr>
        <w:t xml:space="preserve"> без взаимодействия с контролируемым лицом  – </w:t>
      </w:r>
      <w:r>
        <w:rPr>
          <w:sz w:val="28"/>
          <w:szCs w:val="28"/>
        </w:rPr>
        <w:t xml:space="preserve">наблюдение за соблюдением обязательных требований, </w:t>
      </w:r>
      <w:r>
        <w:rPr>
          <w:sz w:val="28"/>
          <w:szCs w:val="28"/>
        </w:rPr>
        <w:t xml:space="preserve">выездное обс</w:t>
      </w:r>
      <w:r>
        <w:rPr>
          <w:sz w:val="28"/>
          <w:szCs w:val="28"/>
        </w:rPr>
        <w:t xml:space="preserve">ледование.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3"/>
        <w:jc w:val="both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  <w:u w:val="single"/>
        </w:rPr>
      </w:pPr>
      <w:r>
        <w:rPr>
          <w:rFonts w:ascii="Times New Roman" w:hAnsi="Times New Roman"/>
          <w:b/>
          <w:sz w:val="28"/>
          <w:szCs w:val="28"/>
          <w:u w:val="none"/>
        </w:rPr>
        <w:t xml:space="preserve"> </w:t>
      </w:r>
      <w:r>
        <w:rPr>
          <w:rFonts w:ascii="Times New Roman" w:hAnsi="Times New Roman"/>
          <w:b/>
          <w:sz w:val="28"/>
          <w:szCs w:val="28"/>
          <w:u w:val="none"/>
        </w:rPr>
        <w:t xml:space="preserve">        </w:t>
      </w:r>
      <w:r>
        <w:rPr>
          <w:rFonts w:ascii="Times New Roman" w:hAnsi="Times New Roman"/>
          <w:b/>
          <w:sz w:val="28"/>
          <w:szCs w:val="28"/>
          <w:u w:val="non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Результаты контрольной (надзорной) деятельности.</w:t>
      </w:r>
      <w:r>
        <w:rPr>
          <w:rFonts w:ascii="Times New Roman" w:hAnsi="Times New Roman"/>
          <w:b/>
          <w:bCs/>
          <w:sz w:val="28"/>
          <w:szCs w:val="28"/>
          <w:highlight w:val="none"/>
          <w:u w:val="single"/>
        </w:rPr>
      </w:r>
      <w:r>
        <w:rPr>
          <w:rFonts w:ascii="Times New Roman" w:hAnsi="Times New Roman"/>
          <w:b/>
          <w:bCs/>
          <w:sz w:val="28"/>
          <w:szCs w:val="28"/>
          <w:highlight w:val="none"/>
          <w:u w:val="single"/>
        </w:rPr>
      </w:r>
    </w:p>
    <w:p>
      <w:pPr>
        <w:pStyle w:val="913"/>
        <w:jc w:val="both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</w:r>
      <w:r>
        <w:rPr>
          <w:rFonts w:ascii="Times New Roman" w:hAnsi="Times New Roman"/>
          <w:b/>
          <w:sz w:val="28"/>
          <w:szCs w:val="28"/>
          <w:u w:val="single"/>
        </w:rPr>
      </w:r>
      <w:r>
        <w:rPr>
          <w:rFonts w:ascii="Times New Roman" w:hAnsi="Times New Roman"/>
          <w:b/>
          <w:sz w:val="28"/>
          <w:szCs w:val="28"/>
          <w:u w:val="single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За 8 месяцев 2025</w:t>
      </w:r>
      <w:r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проведено 32</w:t>
      </w:r>
      <w:r>
        <w:rPr>
          <w:rFonts w:ascii="Times New Roman" w:hAnsi="Times New Roman"/>
          <w:sz w:val="28"/>
          <w:szCs w:val="28"/>
        </w:rPr>
        <w:t xml:space="preserve"> контрольных (надзорных) мероприятия: 7</w:t>
      </w:r>
      <w:r>
        <w:rPr>
          <w:rFonts w:ascii="Times New Roman" w:hAnsi="Times New Roman"/>
          <w:sz w:val="28"/>
          <w:szCs w:val="28"/>
        </w:rPr>
        <w:t xml:space="preserve"> – плановых и 25</w:t>
      </w:r>
      <w:r>
        <w:rPr>
          <w:rFonts w:ascii="Times New Roman" w:hAnsi="Times New Roman"/>
          <w:sz w:val="28"/>
          <w:szCs w:val="28"/>
        </w:rPr>
        <w:t xml:space="preserve"> внеплановых 22 проверки по срабатыванию индикатора риска, 3 проверки по неисполнению предписания). </w:t>
      </w:r>
      <w:r>
        <w:rPr>
          <w:rFonts w:ascii="Times New Roman" w:hAnsi="Times New Roman"/>
          <w:sz w:val="28"/>
          <w:szCs w:val="28"/>
        </w:rPr>
        <w:t xml:space="preserve">В ходе проведения </w:t>
      </w:r>
      <w:r>
        <w:rPr>
          <w:rFonts w:ascii="Times New Roman" w:hAnsi="Times New Roman"/>
          <w:sz w:val="28"/>
          <w:szCs w:val="28"/>
        </w:rPr>
        <w:t xml:space="preserve">КНМ</w:t>
      </w:r>
      <w:r>
        <w:rPr>
          <w:rFonts w:ascii="Times New Roman" w:hAnsi="Times New Roman"/>
          <w:sz w:val="28"/>
          <w:szCs w:val="28"/>
        </w:rPr>
        <w:t xml:space="preserve"> выявлено 933</w:t>
      </w:r>
      <w:r>
        <w:rPr>
          <w:rFonts w:ascii="Times New Roman" w:hAnsi="Times New Roman"/>
          <w:sz w:val="28"/>
          <w:szCs w:val="28"/>
        </w:rPr>
        <w:t xml:space="preserve"> нарушения</w:t>
      </w:r>
      <w:r>
        <w:rPr>
          <w:rFonts w:ascii="Times New Roman" w:hAnsi="Times New Roman"/>
          <w:sz w:val="28"/>
          <w:szCs w:val="28"/>
        </w:rPr>
        <w:t xml:space="preserve"> требований Федеральных законов и нормативно-правовых актов Российской Федерации. 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-567" w:firstLine="709"/>
        <w:jc w:val="both"/>
        <w:spacing w:after="0" w:line="240" w:lineRule="auto"/>
        <w:tabs>
          <w:tab w:val="left" w:pos="251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NewRoman" w:hAnsi="TimesNewRoman" w:eastAsia="TimesNewRoman" w:cs="TimesNewRoman"/>
          <w:color w:val="000000"/>
          <w:sz w:val="28"/>
          <w:szCs w:val="28"/>
        </w:rPr>
        <w:t xml:space="preserve">В марте 2025 года в рамках</w:t>
      </w:r>
      <w:r>
        <w:rPr>
          <w:rFonts w:ascii="TimesNewRoman" w:hAnsi="TimesNewRoman" w:eastAsia="TimesNewRoman" w:cs="TimesNewRoman"/>
          <w:color w:val="000000"/>
          <w:sz w:val="28"/>
          <w:szCs w:val="28"/>
        </w:rPr>
        <w:t xml:space="preserve">  контроля за эффективностью и качеством осуществления органами государственной </w:t>
      </w:r>
      <w:r>
        <w:rPr>
          <w:rFonts w:ascii="TimesNewRoman" w:hAnsi="TimesNewRoman" w:eastAsia="TimesNewRoman" w:cs="TimesNewRoman"/>
          <w:color w:val="000000"/>
          <w:sz w:val="28"/>
          <w:szCs w:val="28"/>
        </w:rPr>
        <w:t xml:space="preserve">власти субъектов Российской Федерации переданных им для осуществления полномочий Российской Федерации по федеральному государственному к</w:t>
      </w:r>
      <w:r>
        <w:rPr>
          <w:rFonts w:ascii="TimesNewRoman" w:hAnsi="TimesNewRoman" w:eastAsia="TimesNewRoman" w:cs="TimesNewRoman"/>
          <w:color w:val="000000"/>
          <w:sz w:val="28"/>
          <w:szCs w:val="28"/>
        </w:rPr>
        <w:t xml:space="preserve">онтролю (надзору) за соблюдением правил технической эксплуатации внеуличного транспорта и правил пользования внеуличным транспортом проведена проверка </w:t>
      </w:r>
      <w:r>
        <w:rPr>
          <w:rFonts w:ascii="TimesNewRoman" w:hAnsi="TimesNewRoman" w:eastAsia="TimesNewRoman" w:cs="TimesNewRoman"/>
          <w:sz w:val="28"/>
          <w:szCs w:val="28"/>
        </w:rPr>
        <w:t xml:space="preserve">Управления по надзору за техническим состоянием самоходных машин Республики Татарстан (Метрополитен г. Казань)</w:t>
      </w:r>
      <w:r>
        <w:rPr>
          <w:rFonts w:ascii="TimesNewRoman" w:hAnsi="TimesNewRoman" w:eastAsia="TimesNewRoman" w:cs="TimesNewRoman"/>
          <w:sz w:val="28"/>
          <w:szCs w:val="28"/>
        </w:rPr>
        <w:t xml:space="preserve">. По результатам проверки составлен акт и руководителем Федеральнрй службы по надзору в сфере транспорта направлено Предписание по устранению выявленных нарушений.</w:t>
      </w:r>
      <w:r>
        <w:rPr>
          <w:rFonts w:ascii="TimesNewRoman" w:hAnsi="TimesNewRoman" w:eastAsia="TimesNewRoman" w:cs="TimesNewRoman"/>
          <w:sz w:val="28"/>
          <w:szCs w:val="28"/>
        </w:rPr>
        <w:t xml:space="preserve"> На 2026 год органами Прокуратуры согласованы проверки метро Самара, метро Нижний Новгород)</w:t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Проведено 776</w:t>
      </w:r>
      <w:r>
        <w:rPr>
          <w:rFonts w:ascii="Times New Roman" w:hAnsi="Times New Roman"/>
          <w:sz w:val="28"/>
          <w:szCs w:val="28"/>
        </w:rPr>
        <w:t xml:space="preserve"> контрольных (надзорных) мероприятий без взаимодействия с контролируемым лицом, из них выездных обследований – 371</w:t>
      </w:r>
      <w:r>
        <w:rPr>
          <w:rFonts w:ascii="Times New Roman" w:hAnsi="Times New Roman"/>
          <w:sz w:val="28"/>
          <w:szCs w:val="28"/>
        </w:rPr>
        <w:t xml:space="preserve">, наблюдений за соблюдением обязательных требований – 405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выездных обследований осмотрено 5608</w:t>
      </w:r>
      <w:r>
        <w:rPr>
          <w:rFonts w:ascii="Times New Roman" w:hAnsi="Times New Roman"/>
          <w:sz w:val="28"/>
          <w:szCs w:val="28"/>
        </w:rPr>
        <w:t xml:space="preserve"> единиц </w:t>
      </w:r>
      <w:r>
        <w:rPr>
          <w:rFonts w:ascii="Times New Roman" w:hAnsi="Times New Roman"/>
          <w:sz w:val="28"/>
          <w:szCs w:val="28"/>
        </w:rPr>
        <w:t xml:space="preserve">железнодорожного </w:t>
      </w:r>
      <w:r>
        <w:rPr>
          <w:rFonts w:ascii="Times New Roman" w:hAnsi="Times New Roman"/>
          <w:sz w:val="28"/>
          <w:szCs w:val="28"/>
        </w:rPr>
        <w:t xml:space="preserve">подвижного состава, 8</w:t>
      </w:r>
      <w:r>
        <w:rPr>
          <w:rFonts w:ascii="Times New Roman" w:hAnsi="Times New Roman"/>
          <w:sz w:val="28"/>
          <w:szCs w:val="28"/>
        </w:rPr>
        <w:t xml:space="preserve"> пожарных поездов, 49 </w:t>
      </w:r>
      <w:r>
        <w:rPr>
          <w:rFonts w:ascii="Times New Roman" w:hAnsi="Times New Roman"/>
          <w:sz w:val="28"/>
          <w:szCs w:val="28"/>
        </w:rPr>
        <w:t xml:space="preserve">железнодорожных вокзалов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51</w:t>
      </w:r>
      <w:r>
        <w:rPr>
          <w:rFonts w:ascii="Times New Roman" w:hAnsi="Times New Roman"/>
          <w:sz w:val="28"/>
          <w:szCs w:val="28"/>
        </w:rPr>
        <w:t xml:space="preserve"> железнодорожный переезд, 100</w:t>
      </w:r>
      <w:r>
        <w:rPr>
          <w:rFonts w:ascii="Times New Roman" w:hAnsi="Times New Roman"/>
          <w:sz w:val="28"/>
          <w:szCs w:val="28"/>
        </w:rPr>
        <w:t xml:space="preserve"> железнодорожных мостов, </w:t>
      </w:r>
      <w:r>
        <w:rPr>
          <w:rFonts w:ascii="Times New Roman" w:hAnsi="Times New Roman"/>
          <w:sz w:val="28"/>
          <w:szCs w:val="28"/>
        </w:rPr>
        <w:t xml:space="preserve">27</w:t>
      </w:r>
      <w:r>
        <w:rPr>
          <w:rFonts w:ascii="Times New Roman" w:hAnsi="Times New Roman"/>
          <w:sz w:val="28"/>
          <w:szCs w:val="28"/>
        </w:rPr>
        <w:t xml:space="preserve"> железнодорожных станций</w:t>
      </w:r>
      <w:r>
        <w:rPr>
          <w:rFonts w:ascii="Times New Roman" w:hAnsi="Times New Roman"/>
          <w:sz w:val="28"/>
          <w:szCs w:val="28"/>
        </w:rPr>
        <w:t xml:space="preserve">. Выявлено 3843</w:t>
      </w:r>
      <w:r>
        <w:rPr>
          <w:rFonts w:ascii="Times New Roman" w:hAnsi="Times New Roman"/>
          <w:sz w:val="28"/>
          <w:szCs w:val="28"/>
        </w:rPr>
        <w:t xml:space="preserve"> нарушения</w:t>
      </w:r>
      <w:r>
        <w:rPr>
          <w:rFonts w:ascii="Times New Roman" w:hAnsi="Times New Roman"/>
          <w:sz w:val="28"/>
          <w:szCs w:val="28"/>
        </w:rPr>
        <w:t xml:space="preserve"> обязательных требований. </w:t>
      </w:r>
      <w:r>
        <w:rPr>
          <w:rFonts w:ascii="Times New Roman" w:hAnsi="Times New Roman"/>
          <w:sz w:val="28"/>
          <w:szCs w:val="28"/>
        </w:rPr>
        <w:t xml:space="preserve">По результатам </w:t>
      </w:r>
      <w:r>
        <w:rPr>
          <w:rFonts w:ascii="Times New Roman" w:hAnsi="Times New Roman"/>
          <w:sz w:val="28"/>
          <w:szCs w:val="28"/>
        </w:rPr>
        <w:t xml:space="preserve">контрольных (надзорных) мероприятий без взаимодействия с контролируемым лицом</w:t>
      </w:r>
      <w:r>
        <w:rPr>
          <w:rFonts w:ascii="Times New Roman" w:hAnsi="Times New Roman"/>
          <w:sz w:val="28"/>
          <w:szCs w:val="28"/>
        </w:rPr>
        <w:t xml:space="preserve"> объявлено 886 </w:t>
      </w:r>
      <w:r>
        <w:rPr>
          <w:rFonts w:ascii="Times New Roman" w:hAnsi="Times New Roman"/>
          <w:sz w:val="28"/>
          <w:szCs w:val="28"/>
        </w:rPr>
        <w:t xml:space="preserve">Предостережений</w:t>
      </w:r>
      <w:r>
        <w:rPr>
          <w:rFonts w:ascii="Times New Roman" w:hAnsi="Times New Roman"/>
          <w:sz w:val="28"/>
          <w:szCs w:val="28"/>
        </w:rPr>
        <w:t xml:space="preserve"> о недопустимости нарушения обязательных требований.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afterAutospacing="0" w:line="345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Принято участие </w:t>
      </w:r>
      <w:r>
        <w:rPr>
          <w:rFonts w:ascii="Times New Roman" w:hAnsi="Times New Roman"/>
          <w:sz w:val="28"/>
          <w:szCs w:val="28"/>
        </w:rPr>
        <w:t xml:space="preserve">в 28</w:t>
      </w:r>
      <w:r>
        <w:rPr>
          <w:rFonts w:ascii="Times New Roman" w:hAnsi="Times New Roman"/>
          <w:sz w:val="28"/>
          <w:szCs w:val="28"/>
        </w:rPr>
        <w:t xml:space="preserve"> приемочных комиссиях по постановке продукции железнодорожного назначения на производство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5</w:t>
      </w:r>
      <w:r>
        <w:rPr>
          <w:rFonts w:ascii="Times New Roman" w:hAnsi="Times New Roman"/>
          <w:sz w:val="28"/>
          <w:szCs w:val="28"/>
        </w:rPr>
        <w:t xml:space="preserve"> комиссиях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определению мест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примыкания строящихся, реконструируемых или восстановленных железнодорожных путей необщего пользования к железнодорожным путям общего пользования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afterAutospacing="0" w:line="345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отчетный период и</w:t>
      </w:r>
      <w:r>
        <w:rPr>
          <w:rFonts w:ascii="Times New Roman" w:hAnsi="Times New Roman"/>
          <w:sz w:val="28"/>
          <w:szCs w:val="28"/>
        </w:rPr>
        <w:t xml:space="preserve">нспекторским составом</w:t>
      </w:r>
      <w:r>
        <w:rPr>
          <w:rFonts w:ascii="Times New Roman" w:hAnsi="Times New Roman"/>
          <w:sz w:val="28"/>
          <w:szCs w:val="28"/>
        </w:rPr>
        <w:t xml:space="preserve"> принято участие в качестве специалистов в 84</w:t>
      </w:r>
      <w:r>
        <w:rPr>
          <w:rFonts w:ascii="Times New Roman" w:hAnsi="Times New Roman"/>
          <w:sz w:val="28"/>
          <w:szCs w:val="28"/>
        </w:rPr>
        <w:t xml:space="preserve"> проверках транспортной прокуратуры.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5"/>
        <w:ind w:left="-567" w:right="0" w:firstLine="567"/>
        <w:jc w:val="both"/>
        <w:spacing w:beforeAutospacing="0" w:afterAutospacing="0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  8 месяцев 2025 года должностными лицами МТУ Ространснадзора по ПФО было рассмотрено 241 дело об административных правонарушениях, из них 147 дел было полу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чено для рассмотрения из транспортной прокуратуры, 94 дел возбуждено по итогам проведенных плановых и внеплановы контрольных (надзорных) мероприятий.  В отношении юридических лиц рассмотрено 4 дела, 3 в отношении ОАО «РЖД», 1 в отношении ООО «Монолит».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0" w:firstLine="567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соответствии со ст. 29.13. КоАП РФ должностными лицами Управления  руководителям предприятий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внесено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50 Представлений  (34 по итогам проведенных плановых и внеплановых КНМ, 16 по материалам из транспортных прокуратур) о принятии мер по устранению причин административных правонарушений и условий, способствующих их совершению.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-567" w:right="0" w:firstLine="567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-567" w:right="0" w:firstLine="567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Руководители предприятий, получившие Представление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 устранении причин и условий способствовавших совершению  административных правонарушений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течении месяца со дня их получения обязаны рассмотреть Представление и сообщить должностному лицу о принятых мерах.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firstLine="709"/>
        <w:jc w:val="both"/>
        <w:spacing w:after="0" w:afterAutospacing="0" w:line="345" w:lineRule="exac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-567" w:right="0" w:firstLine="567"/>
        <w:jc w:val="both"/>
        <w:spacing w:after="0" w:afterAutospacing="0" w:line="345" w:lineRule="exac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Согласно пункта 4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Приказа Минтранса России от 05.10.2022 № 402 «Об утверждении Условий э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ксплуатации железнодорожных переездов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жегодно, в период с 1 апреля по 1 июля, на железнодорожном транспорте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u w:val="none"/>
        </w:rPr>
        <w:t xml:space="preserve">владельцы железнодорожных путей общего и необщего пользования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проводят комиссионное обследование принадлежащих им железнодорожных переездов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-567" w:right="0" w:firstLine="567"/>
        <w:jc w:val="both"/>
        <w:spacing w:after="0" w:afterAutospacing="0" w:line="345" w:lineRule="exac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Инспектора МТУ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Ространснадзора по ПФО участвуют в организации обследования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весеннего КМО железнодорожных  переездов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-567" w:right="0" w:firstLine="567"/>
        <w:jc w:val="both"/>
        <w:spacing w:after="0" w:afterAutospacing="0" w:line="345" w:lineRule="exact"/>
        <w:rPr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На полигонах Горьковской и Куйбышевской железных доро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г в н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астоящее время ОАО «РЖД» эксплуатирует 1382 железнодорожных переезда (801, 581 соответственно) на путях общего пользования, а также в границах железных  дорог владельцы железнодорожных путей необщего пользования эксплуатируют 372 железнодорожных переезда (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84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288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соответственно). Составлен график участия инспекторского состава в комиссионных обследованиях железнодорожных переездов.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left="-567" w:right="0" w:firstLine="567"/>
        <w:jc w:val="both"/>
        <w:spacing w:after="0" w:afterAutospacing="0" w:line="345" w:lineRule="exact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Принято участие в комиссионных обследованиях 1382 переездов на путях общего пользования  (581 на КбшЖД, 801 на ГЖД) и 398 переездах на путях необщего пользования (295 на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КбшЖД, 103 на ГЖД). Выявлено 2311 нарушений  путях общего пользования и 583 на путях необщего пользования, объявлено 249 предостережений, проведено 146 консультирований.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center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Профилактика</w:t>
      </w:r>
      <w:r>
        <w:rPr>
          <w:rFonts w:ascii="Times New Roman" w:hAnsi="Times New Roman"/>
          <w:b/>
          <w:sz w:val="28"/>
          <w:szCs w:val="28"/>
          <w:u w:val="single"/>
        </w:rPr>
      </w:r>
      <w:r>
        <w:rPr>
          <w:rFonts w:ascii="Times New Roman" w:hAnsi="Times New Roman"/>
          <w:b/>
          <w:sz w:val="28"/>
          <w:szCs w:val="28"/>
          <w:u w:val="single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Основной упор контрольной (надзорной) деятель</w:t>
      </w:r>
      <w:r>
        <w:rPr>
          <w:rFonts w:ascii="Times New Roman" w:hAnsi="Times New Roman"/>
          <w:sz w:val="28"/>
          <w:szCs w:val="28"/>
        </w:rPr>
        <w:t xml:space="preserve">ности – это проведение профилактических мероприятий, направленных на предупреждение транспортных происшествий и стимулирование добросовестности контролируемых лиц по исполнению обязательных требований законодательства в области железнодорожного транспорта.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Профилактические мероприятия: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вынесение Предостережения о недопустимости нарушения обязательных требований;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информирование;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обобщение правоприменительной практики;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консультирование,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самообследование,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профилактический визит.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8 месяцев 2025 года </w:t>
      </w:r>
      <w:r>
        <w:rPr>
          <w:rFonts w:ascii="Times New Roman" w:hAnsi="Times New Roman"/>
          <w:sz w:val="28"/>
          <w:szCs w:val="28"/>
        </w:rPr>
        <w:t xml:space="preserve">инспекторами проведено 2608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профилактических мероприятий, из них: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3"/>
        <w:numPr>
          <w:ilvl w:val="0"/>
          <w:numId w:val="40"/>
        </w:numPr>
        <w:ind w:left="28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проведено 19</w:t>
      </w:r>
      <w:r>
        <w:rPr>
          <w:rFonts w:ascii="Times New Roman" w:hAnsi="Times New Roman"/>
          <w:sz w:val="28"/>
          <w:szCs w:val="28"/>
        </w:rPr>
        <w:t xml:space="preserve"> обяза</w:t>
      </w:r>
      <w:r>
        <w:rPr>
          <w:rFonts w:ascii="Times New Roman" w:hAnsi="Times New Roman"/>
          <w:sz w:val="28"/>
          <w:szCs w:val="28"/>
        </w:rPr>
        <w:t xml:space="preserve">тельных профилактических визитов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3"/>
        <w:numPr>
          <w:ilvl w:val="0"/>
          <w:numId w:val="41"/>
        </w:numPr>
        <w:ind w:left="284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/>
          <w:sz w:val="28"/>
          <w:szCs w:val="28"/>
          <w:highlight w:val="white"/>
        </w:rPr>
        <w:t xml:space="preserve">бъявлено </w:t>
      </w:r>
      <w:r>
        <w:rPr>
          <w:rFonts w:ascii="Times New Roman" w:hAnsi="Times New Roman"/>
          <w:sz w:val="28"/>
          <w:szCs w:val="28"/>
          <w:highlight w:val="white"/>
        </w:rPr>
        <w:t xml:space="preserve">886</w:t>
      </w:r>
      <w:r>
        <w:rPr>
          <w:rFonts w:ascii="Times New Roman" w:hAnsi="Times New Roman"/>
          <w:sz w:val="28"/>
          <w:szCs w:val="28"/>
          <w:highlight w:val="white"/>
        </w:rPr>
        <w:t xml:space="preserve"> Предостережений</w:t>
      </w:r>
      <w:r>
        <w:rPr>
          <w:rFonts w:ascii="Times New Roman" w:hAnsi="Times New Roman"/>
          <w:sz w:val="28"/>
          <w:szCs w:val="28"/>
          <w:highlight w:val="white"/>
        </w:rPr>
        <w:t xml:space="preserve"> о недопустимости нарушения обязательных требований</w:t>
      </w:r>
      <w:r>
        <w:rPr>
          <w:rFonts w:ascii="Times New Roman" w:hAnsi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3"/>
        <w:numPr>
          <w:ilvl w:val="0"/>
          <w:numId w:val="41"/>
        </w:numPr>
        <w:ind w:left="284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1698 консультирований.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3"/>
        <w:numPr>
          <w:ilvl w:val="0"/>
          <w:numId w:val="42"/>
        </w:numPr>
        <w:ind w:left="-567" w:right="0" w:firstLine="425"/>
        <w:jc w:val="both"/>
        <w:spacing w:after="0" w:line="340" w:lineRule="exact"/>
        <w:tabs>
          <w:tab w:val="left" w:pos="28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процедуру самостоятельной оценки соблюдения обязательных требований в </w:t>
      </w:r>
      <w:r>
        <w:rPr>
          <w:rFonts w:ascii="Times New Roman" w:hAnsi="Times New Roman"/>
          <w:sz w:val="28"/>
          <w:szCs w:val="28"/>
          <w:highlight w:val="white"/>
        </w:rPr>
        <w:t xml:space="preserve">виде </w:t>
      </w:r>
      <w:r>
        <w:rPr>
          <w:rFonts w:ascii="Times New Roman" w:hAnsi="Times New Roman"/>
          <w:sz w:val="28"/>
          <w:szCs w:val="28"/>
          <w:highlight w:val="white"/>
        </w:rPr>
        <w:t xml:space="preserve">Самообследования прошли 3 (14 на 15.09.) организации</w:t>
      </w:r>
      <w:r>
        <w:rPr>
          <w:rFonts w:ascii="Times New Roman" w:hAnsi="Times New Roman"/>
          <w:sz w:val="28"/>
          <w:szCs w:val="28"/>
          <w:highlight w:val="white"/>
        </w:rPr>
        <w:t xml:space="preserve">, 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ринято 2 (5 на 15.09.) мотивированных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решения о соответств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ии критериям добросовестности.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отчетном периоде проведено и принято участие в 19</w:t>
      </w:r>
      <w:r>
        <w:rPr>
          <w:rFonts w:ascii="Times New Roman" w:hAnsi="Times New Roman"/>
          <w:sz w:val="28"/>
          <w:szCs w:val="28"/>
        </w:rPr>
        <w:t xml:space="preserve"> совещаниях с руководителями и специалистами, владельцами железнодорожных путей общего и необщего пользования, руководителями вагоноремонтных предприятий.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Контролируемым лицам направлено 34</w:t>
      </w:r>
      <w:r>
        <w:rPr>
          <w:rFonts w:ascii="Times New Roman" w:hAnsi="Times New Roman"/>
          <w:sz w:val="28"/>
          <w:szCs w:val="28"/>
        </w:rPr>
        <w:t xml:space="preserve"> информационных писем</w:t>
      </w:r>
      <w:r>
        <w:rPr>
          <w:rFonts w:ascii="Times New Roman" w:hAnsi="Times New Roman"/>
          <w:sz w:val="28"/>
          <w:szCs w:val="28"/>
        </w:rPr>
        <w:t xml:space="preserve"> о фактах </w:t>
      </w:r>
      <w:r>
        <w:rPr>
          <w:rFonts w:ascii="Times New Roman" w:hAnsi="Times New Roman"/>
          <w:sz w:val="28"/>
          <w:szCs w:val="28"/>
        </w:rPr>
        <w:t xml:space="preserve">допущенных </w:t>
      </w:r>
      <w:r>
        <w:rPr>
          <w:rFonts w:ascii="Times New Roman" w:hAnsi="Times New Roman"/>
          <w:sz w:val="28"/>
          <w:szCs w:val="28"/>
        </w:rPr>
        <w:t xml:space="preserve">транспортных происшествий.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В СМИ опубликовано 34</w:t>
      </w:r>
      <w:r>
        <w:rPr>
          <w:rFonts w:ascii="Times New Roman" w:hAnsi="Times New Roman"/>
          <w:sz w:val="28"/>
          <w:szCs w:val="28"/>
        </w:rPr>
        <w:t xml:space="preserve"> статьи</w:t>
      </w:r>
      <w:r>
        <w:rPr>
          <w:rFonts w:ascii="Times New Roman" w:hAnsi="Times New Roman"/>
          <w:sz w:val="28"/>
          <w:szCs w:val="28"/>
        </w:rPr>
        <w:t xml:space="preserve"> о деятельности Управления</w:t>
      </w:r>
      <w:r>
        <w:rPr>
          <w:rFonts w:ascii="Times New Roman" w:hAnsi="Times New Roman"/>
          <w:sz w:val="28"/>
          <w:szCs w:val="28"/>
        </w:rPr>
        <w:t xml:space="preserve"> в области железнодорожного транспорта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В со</w:t>
      </w:r>
      <w:r>
        <w:rPr>
          <w:rFonts w:ascii="Times New Roman" w:hAnsi="Times New Roman"/>
          <w:sz w:val="28"/>
          <w:szCs w:val="28"/>
          <w:highlight w:val="none"/>
        </w:rPr>
        <w:t xml:space="preserve">ответствии с протокольными решениями, принятыми на заседании Комиссии при Президенте РФ по делам инвалидов от 07.06.2023  № 27 принято участие в 3х </w:t>
      </w:r>
      <w:r>
        <w:rPr>
          <w:rFonts w:ascii="Times New Roman" w:hAnsi="Times New Roman"/>
          <w:sz w:val="28"/>
          <w:szCs w:val="28"/>
          <w:highlight w:val="none"/>
        </w:rPr>
        <w:t xml:space="preserve">совещаниях, проводимых на территории Приволжского федерального округа, по вопросам обеспечения доступности для инвалидов региональных объектов транспортной инфраструктуры, транспортных средств и предоставляемых транспортных услуг.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Публичные обсуждения правоприменительной практики также являются профилактическим мероприятием.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Как показывает практика многие контролируемые лица, воспользовавшись своим правом, отказываются от проведения профилактического визита, ошибочно с</w:t>
      </w:r>
      <w:r>
        <w:rPr>
          <w:rFonts w:ascii="Times New Roman" w:hAnsi="Times New Roman"/>
          <w:sz w:val="28"/>
          <w:szCs w:val="28"/>
        </w:rPr>
        <w:t xml:space="preserve">читая его контрольным надзорным мероприятием. Хочу еще раз отметить, что это профилактическая беседа, в ходе которой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В рамках реализации профилактической работы Управлением на системной основе проводится анализ состояния безопасности, выявляются предпосылки нарушения обязательных требований.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16"/>
        <w:ind w:firstLine="0"/>
        <w:jc w:val="left"/>
        <w:spacing w:before="0" w:after="0" w:line="240" w:lineRule="auto"/>
        <w:shd w:val="clear" w:color="auto" w:fill="auto"/>
        <w:tabs>
          <w:tab w:val="left" w:pos="567" w:leader="none"/>
        </w:tabs>
        <w:rPr>
          <w:bCs w:val="0"/>
          <w:i w:val="0"/>
        </w:rPr>
      </w:pPr>
      <w:r>
        <w:rPr>
          <w:i w:val="0"/>
          <w:highlight w:val="none"/>
        </w:rPr>
      </w:r>
      <w:r>
        <w:rPr>
          <w:bCs w:val="0"/>
          <w:i w:val="0"/>
        </w:rPr>
      </w:r>
      <w:r>
        <w:rPr>
          <w:bCs w:val="0"/>
          <w:i w:val="0"/>
        </w:rPr>
      </w:r>
    </w:p>
    <w:p>
      <w:pPr>
        <w:pStyle w:val="916"/>
        <w:jc w:val="center"/>
        <w:spacing w:before="0" w:after="0" w:line="240" w:lineRule="auto"/>
        <w:shd w:val="clear" w:color="auto" w:fill="auto"/>
        <w:tabs>
          <w:tab w:val="left" w:pos="567" w:leader="none"/>
        </w:tabs>
        <w:rPr>
          <w:i w:val="0"/>
          <w:u w:val="single"/>
        </w:rPr>
      </w:pPr>
      <w:r>
        <w:rPr>
          <w:i w:val="0"/>
          <w:u w:val="single"/>
        </w:rPr>
        <w:t xml:space="preserve">Типовые нарушения обязательных требований.</w:t>
      </w:r>
      <w:r>
        <w:rPr>
          <w:i w:val="0"/>
          <w:u w:val="single"/>
        </w:rPr>
      </w:r>
      <w:r>
        <w:rPr>
          <w:i w:val="0"/>
          <w:u w:val="single"/>
        </w:rPr>
      </w:r>
    </w:p>
    <w:p>
      <w:pPr>
        <w:pStyle w:val="916"/>
        <w:ind w:left="720" w:firstLine="0"/>
        <w:spacing w:before="0" w:after="0" w:line="240" w:lineRule="auto"/>
        <w:shd w:val="clear" w:color="auto" w:fill="auto"/>
        <w:tabs>
          <w:tab w:val="left" w:pos="567" w:leader="none"/>
        </w:tabs>
        <w:rPr>
          <w:i w:val="0"/>
          <w:u w:val="single"/>
        </w:rPr>
      </w:pPr>
      <w:r>
        <w:rPr>
          <w:i w:val="0"/>
          <w:u w:val="single"/>
        </w:rPr>
      </w:r>
      <w:r>
        <w:rPr>
          <w:i w:val="0"/>
          <w:u w:val="single"/>
        </w:rPr>
      </w:r>
      <w:r>
        <w:rPr>
          <w:i w:val="0"/>
          <w:u w:val="single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Нарушениями является несоблюдение юридическими лицами, индивидуальным предпринимателем требований безопасности движения и эксплуатации железнодорожного транспорта, подвижн</w:t>
      </w:r>
      <w:r>
        <w:rPr>
          <w:rFonts w:ascii="Times New Roman" w:hAnsi="Times New Roman"/>
          <w:sz w:val="28"/>
          <w:szCs w:val="28"/>
        </w:rPr>
        <w:t xml:space="preserve">ого состава и иных связанных с перевозочным процессом транспортных и технических средств, правил перевозки и перегрузки грузов, перевозки пассажиров и багажа, установленных в соответствии с международными договорами Российской Федерации, Федеральным законо</w:t>
      </w:r>
      <w:r>
        <w:rPr>
          <w:rFonts w:ascii="Times New Roman" w:hAnsi="Times New Roman"/>
          <w:sz w:val="28"/>
          <w:szCs w:val="28"/>
        </w:rPr>
        <w:t xml:space="preserve">м от 10 января 2003 №</w:t>
      </w:r>
      <w:r>
        <w:rPr>
          <w:rFonts w:ascii="Times New Roman" w:hAnsi="Times New Roman"/>
          <w:sz w:val="28"/>
          <w:szCs w:val="28"/>
        </w:rPr>
        <w:t xml:space="preserve"> 17-ФЗ «</w:t>
      </w:r>
      <w:r>
        <w:rPr>
          <w:rFonts w:ascii="Times New Roman" w:hAnsi="Times New Roman"/>
          <w:sz w:val="28"/>
          <w:szCs w:val="28"/>
        </w:rPr>
        <w:t xml:space="preserve">О железнодорожном тр</w:t>
      </w:r>
      <w:r>
        <w:rPr>
          <w:rFonts w:ascii="Times New Roman" w:hAnsi="Times New Roman"/>
          <w:sz w:val="28"/>
          <w:szCs w:val="28"/>
        </w:rPr>
        <w:t xml:space="preserve">анспорте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другими федеральными законами и иными нормативными правовыми актами Российской Федерации в области безопасности железнодорожного транспорта.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Основными причинами допущенных поднадзорными организациями нарушений послужили: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отсутствие систематического надзора за комплексом сооружений пути и путевых устройств и не содержание их в состоянии, гарантирующем безопасное и бесперебойное движение.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б) несвоевременное или не в полном объеме прохождение планово - предупредительных видов ремонта и технического обслуживания тягового подвижного состава.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отсутствие контроля со стороны владельца пути необщего пользования за технической документацией на железнодорожные пути необщего пользова</w:t>
      </w:r>
      <w:r>
        <w:rPr>
          <w:rFonts w:ascii="Times New Roman" w:hAnsi="Times New Roman"/>
          <w:sz w:val="28"/>
          <w:szCs w:val="28"/>
        </w:rPr>
        <w:t xml:space="preserve">ния и поддержанием её в актуальном состоянии. Расхождение технической документации (тех. паспорт и инструкция о порядке обслуживания и организации движения на пути необщего пользования) с фактическим обустройством железнодорожного пути необщего пользования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несоблюдение требований содержания железнодорожных переездов владельцами железнодорожных путей необщего пользования (отсутствие или неполное количество направляющих столбиков со стороны автодороги, отсутствие или нечитае</w:t>
      </w:r>
      <w:r>
        <w:rPr>
          <w:rFonts w:ascii="Times New Roman" w:hAnsi="Times New Roman"/>
          <w:sz w:val="28"/>
          <w:szCs w:val="28"/>
        </w:rPr>
        <w:t xml:space="preserve">мые знаки дорожного движения «Однопутная» или «Многопутная железная дорога», отсутствует или невидна разметка, поворотные шлагбаумы не установлены или не на той высоте, твердое покрытие в междупутье не соответствует, отсутствует видеофиксация на переезде).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отсутствие информирования </w:t>
      </w:r>
      <w:r>
        <w:rPr>
          <w:rFonts w:ascii="Times New Roman" w:hAnsi="Times New Roman"/>
          <w:sz w:val="28"/>
          <w:szCs w:val="28"/>
        </w:rPr>
        <w:t xml:space="preserve">Управления</w:t>
      </w:r>
      <w:r>
        <w:rPr>
          <w:rFonts w:ascii="Times New Roman" w:hAnsi="Times New Roman"/>
          <w:sz w:val="28"/>
          <w:szCs w:val="28"/>
        </w:rPr>
        <w:t xml:space="preserve"> о проведении владельцами путей необщего пользования комиссионного обследования железнодорожных переездов, который проводится ежегодно, в период с 1 апреля по 1 июля.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несвоевременное направление владельцами путей необщего пользования информации о транспортных происшествиях (сходах подвижного состава), произошедших на их путях, некачественное расследование владельцами путей необщего пользования сходов желез</w:t>
      </w:r>
      <w:r>
        <w:rPr>
          <w:rFonts w:ascii="Times New Roman" w:hAnsi="Times New Roman"/>
          <w:sz w:val="28"/>
          <w:szCs w:val="28"/>
        </w:rPr>
        <w:t xml:space="preserve">нодорожного подвижного состава.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Нарушение требований законодательства в области обеспечения доступности для инвалидов объектов транспортной инфраструктуры, транспортных средств и предоставляемых услуг, например: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Вокзалы: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отсутствие на проверенных объектах </w:t>
      </w:r>
      <w:r>
        <w:rPr>
          <w:rFonts w:ascii="Times New Roman" w:hAnsi="Times New Roman"/>
          <w:sz w:val="28"/>
          <w:szCs w:val="28"/>
        </w:rPr>
        <w:t xml:space="preserve">дублирования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</w:t>
      </w:r>
      <w:r>
        <w:rPr>
          <w:rFonts w:ascii="Times New Roman" w:hAnsi="Times New Roman"/>
          <w:sz w:val="28"/>
          <w:szCs w:val="28"/>
        </w:rPr>
        <w:t xml:space="preserve">о-точечным шрифтом Брайля (п.6 </w:t>
      </w:r>
      <w:r>
        <w:rPr>
          <w:rFonts w:ascii="Times New Roman" w:hAnsi="Times New Roman"/>
          <w:sz w:val="28"/>
          <w:szCs w:val="28"/>
        </w:rPr>
        <w:t xml:space="preserve">ст.15 ФЗ РФ от 24.11.1995 № 181-ФЗ);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ограничения возможности входа </w:t>
      </w:r>
      <w:r>
        <w:rPr>
          <w:rFonts w:ascii="Times New Roman" w:hAnsi="Times New Roman"/>
          <w:sz w:val="28"/>
          <w:szCs w:val="28"/>
        </w:rPr>
        <w:t xml:space="preserve">и выхода на вокзал</w:t>
      </w:r>
      <w:r>
        <w:rPr>
          <w:rFonts w:ascii="Times New Roman" w:hAnsi="Times New Roman"/>
          <w:sz w:val="28"/>
          <w:szCs w:val="28"/>
        </w:rPr>
        <w:t xml:space="preserve">ы и перемещения по территории </w:t>
      </w:r>
      <w:r>
        <w:rPr>
          <w:rFonts w:ascii="Times New Roman" w:hAnsi="Times New Roman"/>
          <w:sz w:val="28"/>
          <w:szCs w:val="28"/>
        </w:rPr>
        <w:t xml:space="preserve">- для пассажиров из числа инвалидов, имеющих стойкие нарушения функций самостоятельного передвижения (пр</w:t>
      </w:r>
      <w:r>
        <w:rPr>
          <w:rFonts w:ascii="Times New Roman" w:hAnsi="Times New Roman"/>
          <w:sz w:val="28"/>
          <w:szCs w:val="28"/>
        </w:rPr>
        <w:t xml:space="preserve">евышена высота порогов дверных </w:t>
      </w:r>
      <w:r>
        <w:rPr>
          <w:rFonts w:ascii="Times New Roman" w:hAnsi="Times New Roman"/>
          <w:sz w:val="28"/>
          <w:szCs w:val="28"/>
        </w:rPr>
        <w:t xml:space="preserve">проемов, ширина проемов дверей менее 0</w:t>
      </w:r>
      <w:r>
        <w:rPr>
          <w:rFonts w:ascii="Times New Roman" w:hAnsi="Times New Roman"/>
          <w:sz w:val="28"/>
          <w:szCs w:val="28"/>
        </w:rPr>
        <w:t xml:space="preserve">,9 м; пандусы не соответствуют требованиям, </w:t>
      </w:r>
      <w:r>
        <w:rPr>
          <w:rFonts w:ascii="Times New Roman" w:hAnsi="Times New Roman"/>
          <w:sz w:val="28"/>
          <w:szCs w:val="28"/>
        </w:rPr>
        <w:t xml:space="preserve">отсутствуют, либо не обустроены</w:t>
      </w:r>
      <w:r>
        <w:rPr>
          <w:rFonts w:ascii="Times New Roman" w:hAnsi="Times New Roman"/>
          <w:sz w:val="28"/>
          <w:szCs w:val="28"/>
        </w:rPr>
        <w:t xml:space="preserve"> съезды по маршруту следования инвалидов) </w:t>
      </w:r>
      <w:r>
        <w:rPr>
          <w:rFonts w:ascii="Times New Roman" w:hAnsi="Times New Roman"/>
          <w:sz w:val="28"/>
          <w:szCs w:val="28"/>
        </w:rPr>
        <w:t xml:space="preserve">(п.8 ст.15 ФЗ РФ от 24.11.1995 № 181-ФЗ);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 проверенных объектах не обеспечивается </w:t>
      </w:r>
      <w:r>
        <w:rPr>
          <w:rFonts w:ascii="Times New Roman" w:hAnsi="Times New Roman"/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</w:t>
      </w:r>
      <w:r>
        <w:rPr>
          <w:rFonts w:ascii="Times New Roman" w:hAnsi="Times New Roman"/>
          <w:sz w:val="28"/>
          <w:szCs w:val="28"/>
        </w:rPr>
        <w:t xml:space="preserve">о-точечным шрифтом Брайля (п.6 </w:t>
      </w:r>
      <w:r>
        <w:rPr>
          <w:rFonts w:ascii="Times New Roman" w:hAnsi="Times New Roman"/>
          <w:sz w:val="28"/>
          <w:szCs w:val="28"/>
        </w:rPr>
        <w:t xml:space="preserve">ст.15 ФЗ РФ от 24.11.1995 № 181-ФЗ);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не выполнены мероприятия по адаптации ж.д. вокзалов, предусмотренные Паспортами доступности для пассажиров из числа инвалидов объекта пассажирской инфраструктуры (п.8 ст.15 ФЗ РФ от 24.11.1995 № 181-ФЗ);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 вокзалах отсутствуют </w:t>
      </w:r>
      <w:r>
        <w:rPr>
          <w:rFonts w:ascii="Times New Roman" w:hAnsi="Times New Roman"/>
          <w:sz w:val="28"/>
          <w:szCs w:val="28"/>
        </w:rPr>
        <w:t xml:space="preserve">вспомогательные средства, в том числе кресло-коляска, для предоставления их, при необходимости, пассажирам из числа инвалидов, имеющих стойкие нарушения функций самостоятельного передвижения при сопровождении (п.3,8 ст.15 ФЗ РФ от 24.11.1995 № 181-ФЗ).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Транспортные средства: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для пассажиров из числа инвалидов, имеющих стойкие нарушения функций самостоятельного передвижения, отсутствуют условия доступности пассажирских вагонов, не обеспечиваются услови</w:t>
      </w:r>
      <w:r>
        <w:rPr>
          <w:rFonts w:ascii="Times New Roman" w:hAnsi="Times New Roman"/>
          <w:sz w:val="28"/>
          <w:szCs w:val="28"/>
        </w:rPr>
        <w:t xml:space="preserve">я доступности услуг (отсутствует возможность входа в поезд и выхода из него с помощью вспомогательных посадочных устройств, отсутствует возможность оставаться в своем кресле-коляске, не предоставляются вспомогательные средства, в том числе кресла-коляски).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Предоставление государственных услуг: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13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2025 </w:t>
      </w:r>
      <w:r>
        <w:rPr>
          <w:rFonts w:ascii="Times New Roman" w:hAnsi="Times New Roman"/>
          <w:sz w:val="28"/>
          <w:szCs w:val="28"/>
        </w:rPr>
        <w:t xml:space="preserve">году</w:t>
      </w:r>
      <w:r>
        <w:rPr>
          <w:rFonts w:ascii="Times New Roman" w:hAnsi="Times New Roman"/>
          <w:sz w:val="28"/>
          <w:szCs w:val="28"/>
        </w:rPr>
        <w:t xml:space="preserve"> назначено 49</w:t>
      </w:r>
      <w:r>
        <w:rPr>
          <w:rFonts w:ascii="Times New Roman" w:hAnsi="Times New Roman"/>
          <w:sz w:val="28"/>
          <w:szCs w:val="28"/>
        </w:rPr>
        <w:t xml:space="preserve"> комиссий</w:t>
      </w:r>
      <w:r>
        <w:rPr>
          <w:rFonts w:ascii="Times New Roman" w:hAnsi="Times New Roman"/>
          <w:sz w:val="28"/>
          <w:szCs w:val="28"/>
        </w:rPr>
        <w:t xml:space="preserve"> для проверки теоретических знаний и выдачи свидетельств на право управления железнодорожным подвижным составом. Количество претендентов </w:t>
      </w:r>
      <w:r>
        <w:rPr>
          <w:rFonts w:ascii="Times New Roman" w:hAnsi="Times New Roman"/>
          <w:sz w:val="28"/>
          <w:szCs w:val="28"/>
        </w:rPr>
        <w:t xml:space="preserve">– 756</w:t>
      </w:r>
      <w:r>
        <w:rPr>
          <w:rFonts w:ascii="Times New Roman" w:hAnsi="Times New Roman"/>
          <w:sz w:val="28"/>
          <w:szCs w:val="28"/>
        </w:rPr>
        <w:t xml:space="preserve"> человек. Из них </w:t>
      </w:r>
      <w:r>
        <w:rPr>
          <w:rFonts w:ascii="Times New Roman" w:hAnsi="Times New Roman"/>
          <w:sz w:val="28"/>
          <w:szCs w:val="28"/>
        </w:rPr>
        <w:t xml:space="preserve">640</w:t>
      </w:r>
      <w:r>
        <w:rPr>
          <w:rFonts w:ascii="Times New Roman" w:hAnsi="Times New Roman"/>
          <w:sz w:val="28"/>
          <w:szCs w:val="28"/>
        </w:rPr>
        <w:t xml:space="preserve"> – сдавших, 70</w:t>
      </w:r>
      <w:r>
        <w:rPr>
          <w:rFonts w:ascii="Times New Roman" w:hAnsi="Times New Roman"/>
          <w:sz w:val="28"/>
          <w:szCs w:val="28"/>
        </w:rPr>
        <w:t xml:space="preserve"> – не сдавших, </w:t>
      </w:r>
      <w:r>
        <w:rPr>
          <w:rFonts w:ascii="Times New Roman" w:hAnsi="Times New Roman"/>
          <w:sz w:val="28"/>
          <w:szCs w:val="28"/>
        </w:rPr>
        <w:t xml:space="preserve">46</w:t>
      </w:r>
      <w:r>
        <w:rPr>
          <w:rFonts w:ascii="Times New Roman" w:hAnsi="Times New Roman"/>
          <w:sz w:val="28"/>
          <w:szCs w:val="28"/>
        </w:rPr>
        <w:t xml:space="preserve"> – не явившихся. За отчетный период выдано 640</w:t>
      </w:r>
      <w:r>
        <w:rPr>
          <w:rFonts w:ascii="Times New Roman" w:hAnsi="Times New Roman"/>
          <w:sz w:val="28"/>
          <w:szCs w:val="28"/>
        </w:rPr>
        <w:t xml:space="preserve"> свидетельства</w:t>
      </w:r>
      <w:r>
        <w:rPr>
          <w:rFonts w:ascii="Times New Roman" w:hAnsi="Times New Roman"/>
          <w:sz w:val="28"/>
          <w:szCs w:val="28"/>
        </w:rPr>
        <w:t xml:space="preserve"> на право управления железнодорожным подвижным составом.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center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Соблюдение обязательных требований, дающих разъяснения, какое поведение является правомерным, а также новых требований нормативных правовых актов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.</w:t>
      </w:r>
      <w:r>
        <w:rPr>
          <w:rFonts w:ascii="Times New Roman" w:hAnsi="Times New Roman"/>
          <w:b/>
          <w:sz w:val="28"/>
          <w:szCs w:val="28"/>
          <w:u w:val="single"/>
        </w:rPr>
      </w:r>
      <w:r>
        <w:rPr>
          <w:rFonts w:ascii="Times New Roman" w:hAnsi="Times New Roman"/>
          <w:b/>
          <w:sz w:val="28"/>
          <w:szCs w:val="28"/>
          <w:u w:val="single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реализации положений Федерального закона № 248-ФЗ</w:t>
      </w:r>
      <w:r>
        <w:rPr>
          <w:rFonts w:ascii="Times New Roman" w:hAnsi="Times New Roman"/>
          <w:sz w:val="28"/>
          <w:szCs w:val="28"/>
        </w:rPr>
        <w:t xml:space="preserve"> и совершенствования контрольной (надзорной) деятельности во исполнение постановления Совета Федерации Федерального Собрания Российской Федерации от 2 ноября 2022 г. № 492-СФ «О результатах работы по совершенствованию контрольной (надзорной) деятельности» </w:t>
      </w:r>
      <w:r>
        <w:rPr>
          <w:rFonts w:ascii="Times New Roman" w:hAnsi="Times New Roman"/>
          <w:sz w:val="28"/>
          <w:szCs w:val="28"/>
        </w:rPr>
        <w:t xml:space="preserve">и в</w:t>
      </w:r>
      <w:r>
        <w:rPr>
          <w:rFonts w:ascii="Times New Roman" w:hAnsi="Times New Roman"/>
          <w:sz w:val="28"/>
          <w:szCs w:val="28"/>
        </w:rPr>
        <w:t xml:space="preserve"> целях совершенствования норм</w:t>
      </w:r>
      <w:r>
        <w:rPr>
          <w:rFonts w:ascii="Times New Roman" w:hAnsi="Times New Roman"/>
          <w:sz w:val="28"/>
          <w:szCs w:val="28"/>
        </w:rPr>
        <w:t xml:space="preserve">ативно-правового регулирования </w:t>
      </w:r>
      <w:r>
        <w:rPr>
          <w:rFonts w:ascii="Times New Roman" w:hAnsi="Times New Roman"/>
          <w:sz w:val="28"/>
          <w:szCs w:val="28"/>
        </w:rPr>
        <w:t xml:space="preserve">осуществления полномочий по федеральному государственному контролю (надзору) в области железнодорожного транспорта </w:t>
      </w:r>
      <w:r>
        <w:rPr>
          <w:rFonts w:ascii="Times New Roman" w:hAnsi="Times New Roman"/>
          <w:sz w:val="28"/>
          <w:szCs w:val="28"/>
        </w:rPr>
        <w:t xml:space="preserve">утверждены</w:t>
      </w:r>
      <w:r>
        <w:rPr>
          <w:rFonts w:ascii="Times New Roman" w:hAnsi="Times New Roman"/>
          <w:sz w:val="28"/>
          <w:szCs w:val="28"/>
        </w:rPr>
        <w:t xml:space="preserve"> новые индикаторы риска, направленные на повыш</w:t>
      </w:r>
      <w:r>
        <w:rPr>
          <w:rFonts w:ascii="Times New Roman" w:hAnsi="Times New Roman"/>
          <w:sz w:val="28"/>
          <w:szCs w:val="28"/>
        </w:rPr>
        <w:t xml:space="preserve">ение уровня безопасности </w:t>
      </w:r>
      <w:r>
        <w:rPr>
          <w:rFonts w:ascii="Times New Roman" w:hAnsi="Times New Roman"/>
          <w:sz w:val="28"/>
          <w:szCs w:val="28"/>
        </w:rPr>
        <w:t xml:space="preserve">на железнодорожном транспорте.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ри плановых проверках предприятий железнодорожного транспорта применяется риск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ориентированный подход. Это является одним из ключевых изменений в работе контрольно-надзорных органов в рамках реформы контрольной и надзорной деятельности.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Риск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ориентированный подход предполагает, что контрольно-надзорная деятельность должна основываться на рисках и быть соразмерной им: частота проверок и используемые ресурсы должны быть пропорциональны уровню риска причинения вреда имуществу и здоровью людей.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Различные предприятия одной направленности далеко не одинаковы по уровню потенциальной опасности. Большинство предпринимателей принадлежит к низкой категории риска, поскольку их деятельность не несёт серьёзной угрозы здоровью и имуществу граждан.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Управлением </w:t>
      </w:r>
      <w:r>
        <w:rPr>
          <w:rFonts w:ascii="Times New Roman" w:hAnsi="Times New Roman"/>
          <w:sz w:val="28"/>
          <w:szCs w:val="28"/>
        </w:rPr>
        <w:t xml:space="preserve">на постоянной основе ведется </w:t>
      </w:r>
      <w:r>
        <w:rPr>
          <w:rFonts w:ascii="Times New Roman" w:hAnsi="Times New Roman"/>
          <w:sz w:val="28"/>
          <w:szCs w:val="28"/>
        </w:rPr>
        <w:t xml:space="preserve">работа по </w:t>
      </w:r>
      <w:r>
        <w:rPr>
          <w:rFonts w:ascii="Times New Roman" w:hAnsi="Times New Roman"/>
          <w:sz w:val="28"/>
          <w:szCs w:val="28"/>
        </w:rPr>
        <w:t xml:space="preserve">отнесению объектов контроля к одной из категорий риска причинения вреда (ущерба)</w:t>
      </w:r>
      <w:r>
        <w:rPr>
          <w:rFonts w:ascii="Times New Roman" w:hAnsi="Times New Roman"/>
          <w:sz w:val="28"/>
          <w:szCs w:val="28"/>
        </w:rPr>
        <w:t xml:space="preserve">, в соответствии с </w:t>
      </w:r>
      <w:r>
        <w:rPr>
          <w:rFonts w:ascii="Times New Roman" w:hAnsi="Times New Roman"/>
          <w:sz w:val="28"/>
          <w:szCs w:val="28"/>
        </w:rPr>
        <w:t xml:space="preserve">Постановление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 Правительства РФ от 25.06.2021 N 991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Об утверждении Положения о федеральном государственном контроле (надзоре) в обла</w:t>
      </w:r>
      <w:r>
        <w:rPr>
          <w:rFonts w:ascii="Times New Roman" w:hAnsi="Times New Roman"/>
          <w:sz w:val="28"/>
          <w:szCs w:val="28"/>
        </w:rPr>
        <w:t xml:space="preserve">сти железнодорожного транспорта» (далее – Положение).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</w:t>
      </w:r>
      <w:r>
        <w:rPr>
          <w:rFonts w:ascii="Times New Roman" w:hAnsi="Times New Roman"/>
          <w:sz w:val="28"/>
          <w:szCs w:val="28"/>
        </w:rPr>
        <w:t xml:space="preserve"> Положени</w:t>
      </w:r>
      <w:r>
        <w:rPr>
          <w:rFonts w:ascii="Times New Roman" w:hAnsi="Times New Roman"/>
          <w:sz w:val="28"/>
          <w:szCs w:val="28"/>
        </w:rPr>
        <w:t xml:space="preserve">ю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991 объекты контроля отнесены к одной из категорий риска, теперь их 6: чрезвычайно высокий, высоки</w:t>
      </w:r>
      <w:r>
        <w:rPr>
          <w:rFonts w:ascii="Times New Roman" w:hAnsi="Times New Roman"/>
          <w:sz w:val="28"/>
          <w:szCs w:val="28"/>
        </w:rPr>
        <w:t xml:space="preserve">й</w:t>
      </w:r>
      <w:r>
        <w:rPr>
          <w:rFonts w:ascii="Times New Roman" w:hAnsi="Times New Roman"/>
          <w:sz w:val="28"/>
          <w:szCs w:val="28"/>
        </w:rPr>
        <w:t xml:space="preserve">, значительный, средний, умеренный и низкий.  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Проведение плановых контрольных (надзорных) мероприятий в отношении объектов контроля контролируемых лиц проводятся в зависимости от присвоенной их деятельности категории риска со следующей периодичностью: 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 выездная проверка в отношении объектов контроля, отнесенных к катег</w:t>
      </w:r>
      <w:r>
        <w:rPr>
          <w:rFonts w:ascii="Times New Roman" w:hAnsi="Times New Roman"/>
          <w:sz w:val="28"/>
          <w:szCs w:val="28"/>
        </w:rPr>
        <w:t xml:space="preserve">ории чрезвычайно высокого риска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один раз в год; 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документарная проверка или выездная проверка в отношении объектов контроля, отнесе</w:t>
      </w:r>
      <w:r>
        <w:rPr>
          <w:rFonts w:ascii="Times New Roman" w:hAnsi="Times New Roman"/>
          <w:sz w:val="28"/>
          <w:szCs w:val="28"/>
        </w:rPr>
        <w:t xml:space="preserve">нных к категории высокого риска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один раз в 2 года; 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документарная проверка или выездная проверка в отношении объектов контроля, отнесенных </w:t>
      </w:r>
      <w:r>
        <w:rPr>
          <w:rFonts w:ascii="Times New Roman" w:hAnsi="Times New Roman"/>
          <w:sz w:val="28"/>
          <w:szCs w:val="28"/>
        </w:rPr>
        <w:t xml:space="preserve">к категории значительного риска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один раз в 3 года; 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инспекционный визит в отношении объектов контроля, отнесе</w:t>
      </w:r>
      <w:r>
        <w:rPr>
          <w:rFonts w:ascii="Times New Roman" w:hAnsi="Times New Roman"/>
          <w:sz w:val="28"/>
          <w:szCs w:val="28"/>
        </w:rPr>
        <w:t xml:space="preserve">нных к категории среднего риска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один раз в 3 года; 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инспекционный визит в отношении объектов контроля, отнесенн</w:t>
      </w:r>
      <w:r>
        <w:rPr>
          <w:rFonts w:ascii="Times New Roman" w:hAnsi="Times New Roman"/>
          <w:sz w:val="28"/>
          <w:szCs w:val="28"/>
        </w:rPr>
        <w:t xml:space="preserve">ых к категории умеренного риска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один раз в 5 лет. 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отношении объектов контроля, отнесенных к категории низкого риска, плановые контрольные (надзорные) мероприятия не проводятся. 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Периодичность проведения контрольных (надзорных) мероприятий изменяется в случае изменения ранее присвоенной объекту контроля категории риска причинения вреда (ущерба). 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</w:t>
      </w:r>
      <w:r>
        <w:rPr>
          <w:rFonts w:ascii="Times New Roman" w:hAnsi="Times New Roman"/>
          <w:sz w:val="28"/>
          <w:szCs w:val="28"/>
        </w:rPr>
        <w:t xml:space="preserve">ведена работа по совершенствованию нормативного правового регулирования вопросов, касающихся проведения расследования транспортных происшествий и иных событий, связанных с нарушением правил безопасности движения и эксплуатации железнодорожного транспорта. </w:t>
      </w:r>
      <w:r>
        <w:rPr>
          <w:rFonts w:ascii="Times New Roman" w:hAnsi="Times New Roman"/>
          <w:sz w:val="28"/>
          <w:szCs w:val="28"/>
        </w:rPr>
        <w:t xml:space="preserve">С 1 сентября в</w:t>
      </w:r>
      <w:r>
        <w:rPr>
          <w:rFonts w:ascii="Times New Roman" w:hAnsi="Times New Roman"/>
          <w:sz w:val="28"/>
          <w:szCs w:val="28"/>
        </w:rPr>
        <w:t xml:space="preserve">ступил в действие</w:t>
      </w:r>
      <w:r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 xml:space="preserve">риказ Минтранса России от 18.12.2014 г. № 344 «Об утверждении Положения о классификации, порядке расследования и учета транспортных происшествий и иных событий, связанных с нарушением правил безопасности движения и эксплуатации железнодорожного транспорта»</w:t>
      </w:r>
      <w:r>
        <w:rPr>
          <w:rFonts w:ascii="Times New Roman" w:hAnsi="Times New Roman"/>
          <w:sz w:val="28"/>
          <w:szCs w:val="28"/>
        </w:rPr>
        <w:t xml:space="preserve"> с изменениями</w:t>
      </w:r>
      <w:r>
        <w:rPr>
          <w:rFonts w:ascii="Times New Roman" w:hAnsi="Times New Roman"/>
          <w:sz w:val="28"/>
          <w:szCs w:val="28"/>
        </w:rPr>
        <w:t xml:space="preserve"> в части: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установления обязанностей владельцев железнодорожных путей необщего пользования организовывать и проводить расследования событий, допущенных на путях необщего пользования;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проведения субъектами железнодорожного транспорта расследования </w:t>
      </w:r>
      <w:r>
        <w:rPr>
          <w:rFonts w:ascii="Times New Roman" w:hAnsi="Times New Roman"/>
          <w:sz w:val="28"/>
          <w:szCs w:val="28"/>
        </w:rPr>
        <w:t xml:space="preserve">случаев отцепки вагона с опасным грузом в пути следования на перегонах ил</w:t>
      </w:r>
      <w:r>
        <w:rPr>
          <w:rFonts w:ascii="Times New Roman" w:hAnsi="Times New Roman"/>
          <w:sz w:val="28"/>
          <w:szCs w:val="28"/>
        </w:rPr>
        <w:t xml:space="preserve">и железнодорожных станциях из - </w:t>
      </w:r>
      <w:bookmarkStart w:id="0" w:name="_GoBack"/>
      <w:r/>
      <w:bookmarkEnd w:id="0"/>
      <w:r>
        <w:rPr>
          <w:rFonts w:ascii="Times New Roman" w:hAnsi="Times New Roman"/>
          <w:sz w:val="28"/>
          <w:szCs w:val="28"/>
        </w:rPr>
        <w:t xml:space="preserve">за технические неисправности</w:t>
      </w:r>
      <w:r>
        <w:rPr>
          <w:rFonts w:ascii="Times New Roman" w:hAnsi="Times New Roman"/>
          <w:sz w:val="28"/>
          <w:szCs w:val="28"/>
        </w:rPr>
        <w:t xml:space="preserve"> вагона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расследования случаев излома (обрыва) деталей железнодорожного подвижного состава.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31 марта 2023 года Минюстом России зарегистрирован Приказ Ространснадзора от 23.12.2022 № ВБ-591фс «Об утверждении форм проверочных листов (списков контрольных вопросов, ответы на которые свидетельствуют о соблюдении или не</w:t>
      </w:r>
      <w:r>
        <w:rPr>
          <w:rFonts w:ascii="Times New Roman" w:hAnsi="Times New Roman"/>
          <w:sz w:val="28"/>
          <w:szCs w:val="28"/>
        </w:rPr>
        <w:t xml:space="preserve">соблюдении контролируемым лицом обязательных требований), применяемых Федеральной службой по надзору в сфере транспорта и ее территориальными органами при осуществлении федерального государственного контроля (надзора) в области железнодорожного транспорта»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Разработка новых чек-листов потребовалась в связи со вступлением в силу с 1 августа 2022 года приказа Минтранса России от 23.06.2022 № 250 «Об утверждении Правил технической эксплуатации железных дорог Российской Федерации»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Ознакомиться с новыми проверочными листами можно по ссылке</w:t>
      </w:r>
      <w:r>
        <w:rPr>
          <w:rFonts w:ascii="Times New Roman" w:hAnsi="Times New Roman"/>
          <w:sz w:val="28"/>
          <w:szCs w:val="28"/>
        </w:rPr>
        <w:t xml:space="preserve"> на сайте Ространснадзора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firstLine="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firstLine="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firstLine="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709"/>
        <w:jc w:val="center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Публичное обсуждение проекта обзора результатов обобщения и анализа правоприменительной практики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.</w:t>
      </w:r>
      <w:r>
        <w:rPr>
          <w:rFonts w:ascii="Times New Roman" w:hAnsi="Times New Roman"/>
          <w:b/>
          <w:sz w:val="28"/>
          <w:szCs w:val="28"/>
          <w:u w:val="single"/>
        </w:rPr>
      </w:r>
      <w:r>
        <w:rPr>
          <w:rFonts w:ascii="Times New Roman" w:hAnsi="Times New Roman"/>
          <w:b/>
          <w:sz w:val="28"/>
          <w:szCs w:val="28"/>
          <w:u w:val="single"/>
        </w:rPr>
      </w:r>
    </w:p>
    <w:p>
      <w:pPr>
        <w:ind w:left="-567" w:firstLine="709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Прием предложений и замечаний по проекту обзора результатов обобщения и анализа правоприменительной практики при организации и осуществлении федерального государственного железнодорожного надзора должностными лицами управления осу</w:t>
      </w:r>
      <w:r>
        <w:rPr>
          <w:rFonts w:ascii="Times New Roman" w:hAnsi="Times New Roman"/>
          <w:sz w:val="28"/>
          <w:szCs w:val="28"/>
        </w:rPr>
        <w:t xml:space="preserve">ществляется по адресу: 603952, </w:t>
      </w:r>
      <w:r>
        <w:rPr>
          <w:rFonts w:ascii="Times New Roman" w:hAnsi="Times New Roman"/>
          <w:sz w:val="28"/>
          <w:szCs w:val="28"/>
        </w:rPr>
        <w:t xml:space="preserve">Нижегородская область, г. Нижний Новгород, ул. Удмуртская д. 4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E-mail: </w:t>
      </w:r>
      <w:hyperlink r:id="rId10" w:tooltip="mailto:mtu@pfo.rostransnadzor.gov.ru" w:history="1">
        <w:r>
          <w:rPr>
            <w:rStyle w:val="929"/>
            <w:rFonts w:ascii="Times New Roman" w:hAnsi="Times New Roman"/>
            <w:sz w:val="28"/>
            <w:szCs w:val="28"/>
          </w:rPr>
          <w:t xml:space="preserve">mtu@pfo.rostransnadzor.gov.ru</w:t>
        </w:r>
      </w:hyperlink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707" w:bottom="70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Cambria">
    <w:panose1 w:val="02040803050406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74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64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71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79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86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93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100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107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1508" w:hanging="180"/>
      </w:p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862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353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1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3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5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7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9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1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3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58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115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7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9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1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3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5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7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9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15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bullet"/>
      <w:pStyle w:val="940"/>
      <w:isLgl w:val="false"/>
      <w:suff w:val="tab"/>
      <w:lvlText w:val=""/>
      <w:lvlJc w:val="left"/>
      <w:pPr>
        <w:ind w:left="137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2017"/>
      <w:numFmt w:val="decimal"/>
      <w:isLgl w:val="false"/>
      <w:suff w:val="tab"/>
      <w:lvlText w:val="%1"/>
      <w:lvlJc w:val="left"/>
      <w:pPr>
        <w:ind w:left="960" w:hanging="60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495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151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3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5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7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9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1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3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5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75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862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2955" w:hanging="1395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515" w:hanging="1395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895" w:hanging="1395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275" w:hanging="1395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7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44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82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851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71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91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011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31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51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71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91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611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862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862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862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862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85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57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9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01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3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5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7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9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610" w:hanging="360"/>
      </w:pPr>
      <w:rPr>
        <w:rFonts w:hint="default" w:ascii="Wingdings" w:hAnsi="Wingdings" w:eastAsia="Wingdings" w:cs="Wingdings"/>
      </w:rPr>
    </w:lvl>
  </w:abstractNum>
  <w:num w:numId="1">
    <w:abstractNumId w:val="15"/>
  </w:num>
  <w:num w:numId="2">
    <w:abstractNumId w:val="8"/>
  </w:num>
  <w:num w:numId="3">
    <w:abstractNumId w:val="3"/>
  </w:num>
  <w:num w:numId="4">
    <w:abstractNumId w:val="29"/>
  </w:num>
  <w:num w:numId="5">
    <w:abstractNumId w:val="23"/>
  </w:num>
  <w:num w:numId="6">
    <w:abstractNumId w:val="9"/>
  </w:num>
  <w:num w:numId="7">
    <w:abstractNumId w:val="19"/>
  </w:num>
  <w:num w:numId="8">
    <w:abstractNumId w:val="1"/>
  </w:num>
  <w:num w:numId="9">
    <w:abstractNumId w:val="17"/>
  </w:num>
  <w:num w:numId="10">
    <w:abstractNumId w:val="6"/>
  </w:num>
  <w:num w:numId="11">
    <w:abstractNumId w:val="13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22"/>
  </w:num>
  <w:num w:numId="15">
    <w:abstractNumId w:val="20"/>
  </w:num>
  <w:num w:numId="16">
    <w:abstractNumId w:val="28"/>
  </w:num>
  <w:num w:numId="17">
    <w:abstractNumId w:val="7"/>
  </w:num>
  <w:num w:numId="18">
    <w:abstractNumId w:val="4"/>
  </w:num>
  <w:num w:numId="19">
    <w:abstractNumId w:val="25"/>
  </w:num>
  <w:num w:numId="20">
    <w:abstractNumId w:val="30"/>
  </w:num>
  <w:num w:numId="21">
    <w:abstractNumId w:val="8"/>
  </w:num>
  <w:num w:numId="22">
    <w:abstractNumId w:val="9"/>
  </w:num>
  <w:num w:numId="23">
    <w:abstractNumId w:val="21"/>
  </w:num>
  <w:num w:numId="24">
    <w:abstractNumId w:val="16"/>
  </w:num>
  <w:num w:numId="25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11"/>
  </w:num>
  <w:num w:numId="28">
    <w:abstractNumId w:val="10"/>
  </w:num>
  <w:num w:numId="29">
    <w:abstractNumId w:val="18"/>
  </w:num>
  <w:num w:numId="30">
    <w:abstractNumId w:val="26"/>
  </w:num>
  <w:num w:numId="31">
    <w:abstractNumId w:val="24"/>
  </w:num>
  <w:num w:numId="32">
    <w:abstractNumId w:val="12"/>
  </w:num>
  <w:num w:numId="33">
    <w:abstractNumId w:val="27"/>
  </w:num>
  <w:num w:numId="34">
    <w:abstractNumId w:val="2"/>
  </w:num>
  <w:num w:numId="35">
    <w:abstractNumId w:val="32"/>
  </w:num>
  <w:num w:numId="36">
    <w:abstractNumId w:val="33"/>
  </w:num>
  <w:num w:numId="37">
    <w:abstractNumId w:val="34"/>
  </w:num>
  <w:num w:numId="38">
    <w:abstractNumId w:val="35"/>
  </w:num>
  <w:num w:numId="39">
    <w:abstractNumId w:val="36"/>
  </w:num>
  <w:num w:numId="40">
    <w:abstractNumId w:val="37"/>
  </w:num>
  <w:num w:numId="41">
    <w:abstractNumId w:val="38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6">
    <w:name w:val="Heading 1 Char"/>
    <w:basedOn w:val="910"/>
    <w:link w:val="908"/>
    <w:uiPriority w:val="9"/>
    <w:rPr>
      <w:rFonts w:ascii="Arial" w:hAnsi="Arial" w:eastAsia="Arial" w:cs="Arial"/>
      <w:sz w:val="40"/>
      <w:szCs w:val="40"/>
    </w:rPr>
  </w:style>
  <w:style w:type="character" w:styleId="737">
    <w:name w:val="Heading 2 Char"/>
    <w:basedOn w:val="910"/>
    <w:link w:val="909"/>
    <w:uiPriority w:val="9"/>
    <w:rPr>
      <w:rFonts w:ascii="Arial" w:hAnsi="Arial" w:eastAsia="Arial" w:cs="Arial"/>
      <w:sz w:val="34"/>
    </w:rPr>
  </w:style>
  <w:style w:type="paragraph" w:styleId="738">
    <w:name w:val="Heading 3"/>
    <w:basedOn w:val="907"/>
    <w:next w:val="907"/>
    <w:link w:val="7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9">
    <w:name w:val="Heading 3 Char"/>
    <w:basedOn w:val="910"/>
    <w:link w:val="738"/>
    <w:uiPriority w:val="9"/>
    <w:rPr>
      <w:rFonts w:ascii="Arial" w:hAnsi="Arial" w:eastAsia="Arial" w:cs="Arial"/>
      <w:sz w:val="30"/>
      <w:szCs w:val="30"/>
    </w:rPr>
  </w:style>
  <w:style w:type="paragraph" w:styleId="740">
    <w:name w:val="Heading 4"/>
    <w:basedOn w:val="907"/>
    <w:next w:val="907"/>
    <w:link w:val="7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1">
    <w:name w:val="Heading 4 Char"/>
    <w:basedOn w:val="910"/>
    <w:link w:val="740"/>
    <w:uiPriority w:val="9"/>
    <w:rPr>
      <w:rFonts w:ascii="Arial" w:hAnsi="Arial" w:eastAsia="Arial" w:cs="Arial"/>
      <w:b/>
      <w:bCs/>
      <w:sz w:val="26"/>
      <w:szCs w:val="26"/>
    </w:rPr>
  </w:style>
  <w:style w:type="paragraph" w:styleId="742">
    <w:name w:val="Heading 5"/>
    <w:basedOn w:val="907"/>
    <w:next w:val="907"/>
    <w:link w:val="7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3">
    <w:name w:val="Heading 5 Char"/>
    <w:basedOn w:val="910"/>
    <w:link w:val="742"/>
    <w:uiPriority w:val="9"/>
    <w:rPr>
      <w:rFonts w:ascii="Arial" w:hAnsi="Arial" w:eastAsia="Arial" w:cs="Arial"/>
      <w:b/>
      <w:bCs/>
      <w:sz w:val="24"/>
      <w:szCs w:val="24"/>
    </w:rPr>
  </w:style>
  <w:style w:type="paragraph" w:styleId="744">
    <w:name w:val="Heading 6"/>
    <w:basedOn w:val="907"/>
    <w:next w:val="907"/>
    <w:link w:val="7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5">
    <w:name w:val="Heading 6 Char"/>
    <w:basedOn w:val="910"/>
    <w:link w:val="744"/>
    <w:uiPriority w:val="9"/>
    <w:rPr>
      <w:rFonts w:ascii="Arial" w:hAnsi="Arial" w:eastAsia="Arial" w:cs="Arial"/>
      <w:b/>
      <w:bCs/>
      <w:sz w:val="22"/>
      <w:szCs w:val="22"/>
    </w:rPr>
  </w:style>
  <w:style w:type="paragraph" w:styleId="746">
    <w:name w:val="Heading 7"/>
    <w:basedOn w:val="907"/>
    <w:next w:val="907"/>
    <w:link w:val="7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7">
    <w:name w:val="Heading 7 Char"/>
    <w:basedOn w:val="910"/>
    <w:link w:val="7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8">
    <w:name w:val="Heading 8"/>
    <w:basedOn w:val="907"/>
    <w:next w:val="907"/>
    <w:link w:val="7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9">
    <w:name w:val="Heading 8 Char"/>
    <w:basedOn w:val="910"/>
    <w:link w:val="748"/>
    <w:uiPriority w:val="9"/>
    <w:rPr>
      <w:rFonts w:ascii="Arial" w:hAnsi="Arial" w:eastAsia="Arial" w:cs="Arial"/>
      <w:i/>
      <w:iCs/>
      <w:sz w:val="22"/>
      <w:szCs w:val="22"/>
    </w:rPr>
  </w:style>
  <w:style w:type="paragraph" w:styleId="750">
    <w:name w:val="Heading 9"/>
    <w:basedOn w:val="907"/>
    <w:next w:val="907"/>
    <w:link w:val="7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1">
    <w:name w:val="Heading 9 Char"/>
    <w:basedOn w:val="910"/>
    <w:link w:val="750"/>
    <w:uiPriority w:val="9"/>
    <w:rPr>
      <w:rFonts w:ascii="Arial" w:hAnsi="Arial" w:eastAsia="Arial" w:cs="Arial"/>
      <w:i/>
      <w:iCs/>
      <w:sz w:val="21"/>
      <w:szCs w:val="21"/>
    </w:rPr>
  </w:style>
  <w:style w:type="paragraph" w:styleId="752">
    <w:name w:val="No Spacing"/>
    <w:uiPriority w:val="1"/>
    <w:qFormat/>
    <w:pPr>
      <w:spacing w:before="0" w:after="0" w:line="240" w:lineRule="auto"/>
    </w:pPr>
  </w:style>
  <w:style w:type="paragraph" w:styleId="753">
    <w:name w:val="Title"/>
    <w:basedOn w:val="907"/>
    <w:next w:val="907"/>
    <w:link w:val="7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4">
    <w:name w:val="Title Char"/>
    <w:basedOn w:val="910"/>
    <w:link w:val="753"/>
    <w:uiPriority w:val="10"/>
    <w:rPr>
      <w:sz w:val="48"/>
      <w:szCs w:val="48"/>
    </w:rPr>
  </w:style>
  <w:style w:type="paragraph" w:styleId="755">
    <w:name w:val="Subtitle"/>
    <w:basedOn w:val="907"/>
    <w:next w:val="907"/>
    <w:link w:val="756"/>
    <w:uiPriority w:val="11"/>
    <w:qFormat/>
    <w:pPr>
      <w:spacing w:before="200" w:after="200"/>
    </w:pPr>
    <w:rPr>
      <w:sz w:val="24"/>
      <w:szCs w:val="24"/>
    </w:rPr>
  </w:style>
  <w:style w:type="character" w:styleId="756">
    <w:name w:val="Subtitle Char"/>
    <w:basedOn w:val="910"/>
    <w:link w:val="755"/>
    <w:uiPriority w:val="11"/>
    <w:rPr>
      <w:sz w:val="24"/>
      <w:szCs w:val="24"/>
    </w:rPr>
  </w:style>
  <w:style w:type="paragraph" w:styleId="757">
    <w:name w:val="Quote"/>
    <w:basedOn w:val="907"/>
    <w:next w:val="907"/>
    <w:link w:val="758"/>
    <w:uiPriority w:val="29"/>
    <w:qFormat/>
    <w:pPr>
      <w:ind w:left="720" w:right="720"/>
    </w:pPr>
    <w:rPr>
      <w:i/>
    </w:rPr>
  </w:style>
  <w:style w:type="character" w:styleId="758">
    <w:name w:val="Quote Char"/>
    <w:link w:val="757"/>
    <w:uiPriority w:val="29"/>
    <w:rPr>
      <w:i/>
    </w:rPr>
  </w:style>
  <w:style w:type="paragraph" w:styleId="759">
    <w:name w:val="Intense Quote"/>
    <w:basedOn w:val="907"/>
    <w:next w:val="907"/>
    <w:link w:val="7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0">
    <w:name w:val="Intense Quote Char"/>
    <w:link w:val="759"/>
    <w:uiPriority w:val="30"/>
    <w:rPr>
      <w:i/>
    </w:rPr>
  </w:style>
  <w:style w:type="character" w:styleId="761">
    <w:name w:val="Header Char"/>
    <w:basedOn w:val="910"/>
    <w:link w:val="920"/>
    <w:uiPriority w:val="99"/>
  </w:style>
  <w:style w:type="character" w:styleId="762">
    <w:name w:val="Footer Char"/>
    <w:basedOn w:val="910"/>
    <w:link w:val="922"/>
    <w:uiPriority w:val="99"/>
  </w:style>
  <w:style w:type="paragraph" w:styleId="763">
    <w:name w:val="Caption"/>
    <w:basedOn w:val="907"/>
    <w:next w:val="907"/>
    <w:link w:val="76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4">
    <w:name w:val="Caption Char"/>
    <w:basedOn w:val="910"/>
    <w:link w:val="763"/>
    <w:uiPriority w:val="35"/>
    <w:rPr>
      <w:b/>
      <w:bCs/>
      <w:color w:val="4f81bd" w:themeColor="accent1"/>
      <w:sz w:val="18"/>
      <w:szCs w:val="18"/>
    </w:rPr>
  </w:style>
  <w:style w:type="table" w:styleId="765">
    <w:name w:val="Table Grid Light"/>
    <w:basedOn w:val="9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>
    <w:name w:val="Plain Table 1"/>
    <w:basedOn w:val="9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>
    <w:name w:val="Plain Table 2"/>
    <w:basedOn w:val="9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>
    <w:name w:val="Plain Table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9">
    <w:name w:val="Plain Table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Plain Table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1">
    <w:name w:val="Grid Table 1 Light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4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3">
    <w:name w:val="Grid Table 4 - Accent 1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4">
    <w:name w:val="Grid Table 4 - Accent 2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5">
    <w:name w:val="Grid Table 4 - Accent 3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6">
    <w:name w:val="Grid Table 4 - Accent 4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7">
    <w:name w:val="Grid Table 4 - Accent 5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8">
    <w:name w:val="Grid Table 4 - Accent 6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9">
    <w:name w:val="Grid Table 5 Dark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0">
    <w:name w:val="Grid Table 5 Dark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3">
    <w:name w:val="Grid Table 5 Dark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6">
    <w:name w:val="Grid Table 6 Colorful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7">
    <w:name w:val="Grid Table 6 Colorful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8">
    <w:name w:val="Grid Table 6 Colorful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9">
    <w:name w:val="Grid Table 6 Colorful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0">
    <w:name w:val="Grid Table 6 Colorful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1">
    <w:name w:val="Grid Table 6 Colorful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2">
    <w:name w:val="Grid Table 6 Colorful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3">
    <w:name w:val="Grid Table 7 Colorful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8">
    <w:name w:val="List Table 2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9">
    <w:name w:val="List Table 2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0">
    <w:name w:val="List Table 2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1">
    <w:name w:val="List Table 2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2">
    <w:name w:val="List Table 2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3">
    <w:name w:val="List Table 2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4">
    <w:name w:val="List Table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5 Dark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6 Colorful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6">
    <w:name w:val="List Table 6 Colorful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7">
    <w:name w:val="List Table 6 Colorful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8">
    <w:name w:val="List Table 6 Colorful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9">
    <w:name w:val="List Table 6 Colorful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0">
    <w:name w:val="List Table 6 Colorful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1">
    <w:name w:val="List Table 6 Colorful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2">
    <w:name w:val="List Table 7 Colorful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3">
    <w:name w:val="List Table 7 Colorful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4">
    <w:name w:val="List Table 7 Colorful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5">
    <w:name w:val="List Table 7 Colorful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6">
    <w:name w:val="List Table 7 Colorful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7">
    <w:name w:val="List Table 7 Colorful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8">
    <w:name w:val="List Table 7 Colorful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9">
    <w:name w:val="Lined - Accent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0">
    <w:name w:val="Lined - Accent 1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1">
    <w:name w:val="Lined - Accent 2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2">
    <w:name w:val="Lined - Accent 3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3">
    <w:name w:val="Lined - Accent 4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4">
    <w:name w:val="Lined - Accent 5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5">
    <w:name w:val="Lined - Accent 6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6">
    <w:name w:val="Bordered &amp; Lined - Accent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7">
    <w:name w:val="Bordered &amp; Lined - Accent 1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8">
    <w:name w:val="Bordered &amp; Lined - Accent 2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9">
    <w:name w:val="Bordered &amp; Lined - Accent 3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0">
    <w:name w:val="Bordered &amp; Lined - Accent 4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1">
    <w:name w:val="Bordered &amp; Lined - Accent 5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2">
    <w:name w:val="Bordered &amp; Lined - Accent 6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3">
    <w:name w:val="Bordered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4">
    <w:name w:val="Bordered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5">
    <w:name w:val="Bordered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6">
    <w:name w:val="Bordered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7">
    <w:name w:val="Bordered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8">
    <w:name w:val="Bordered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9">
    <w:name w:val="Bordered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90">
    <w:name w:val="footnote text"/>
    <w:basedOn w:val="907"/>
    <w:link w:val="891"/>
    <w:uiPriority w:val="99"/>
    <w:semiHidden/>
    <w:unhideWhenUsed/>
    <w:pPr>
      <w:spacing w:after="40" w:line="240" w:lineRule="auto"/>
    </w:pPr>
    <w:rPr>
      <w:sz w:val="18"/>
    </w:rPr>
  </w:style>
  <w:style w:type="character" w:styleId="891">
    <w:name w:val="Footnote Text Char"/>
    <w:link w:val="890"/>
    <w:uiPriority w:val="99"/>
    <w:rPr>
      <w:sz w:val="18"/>
    </w:rPr>
  </w:style>
  <w:style w:type="character" w:styleId="892">
    <w:name w:val="footnote reference"/>
    <w:basedOn w:val="910"/>
    <w:uiPriority w:val="99"/>
    <w:unhideWhenUsed/>
    <w:rPr>
      <w:vertAlign w:val="superscript"/>
    </w:rPr>
  </w:style>
  <w:style w:type="paragraph" w:styleId="893">
    <w:name w:val="endnote text"/>
    <w:basedOn w:val="907"/>
    <w:link w:val="894"/>
    <w:uiPriority w:val="99"/>
    <w:semiHidden/>
    <w:unhideWhenUsed/>
    <w:pPr>
      <w:spacing w:after="0" w:line="240" w:lineRule="auto"/>
    </w:pPr>
    <w:rPr>
      <w:sz w:val="20"/>
    </w:rPr>
  </w:style>
  <w:style w:type="character" w:styleId="894">
    <w:name w:val="Endnote Text Char"/>
    <w:link w:val="893"/>
    <w:uiPriority w:val="99"/>
    <w:rPr>
      <w:sz w:val="20"/>
    </w:rPr>
  </w:style>
  <w:style w:type="character" w:styleId="895">
    <w:name w:val="endnote reference"/>
    <w:basedOn w:val="910"/>
    <w:uiPriority w:val="99"/>
    <w:semiHidden/>
    <w:unhideWhenUsed/>
    <w:rPr>
      <w:vertAlign w:val="superscript"/>
    </w:rPr>
  </w:style>
  <w:style w:type="paragraph" w:styleId="896">
    <w:name w:val="toc 1"/>
    <w:basedOn w:val="907"/>
    <w:next w:val="907"/>
    <w:uiPriority w:val="39"/>
    <w:unhideWhenUsed/>
    <w:pPr>
      <w:ind w:left="0" w:right="0" w:firstLine="0"/>
      <w:spacing w:after="57"/>
    </w:pPr>
  </w:style>
  <w:style w:type="paragraph" w:styleId="897">
    <w:name w:val="toc 2"/>
    <w:basedOn w:val="907"/>
    <w:next w:val="907"/>
    <w:uiPriority w:val="39"/>
    <w:unhideWhenUsed/>
    <w:pPr>
      <w:ind w:left="283" w:right="0" w:firstLine="0"/>
      <w:spacing w:after="57"/>
    </w:pPr>
  </w:style>
  <w:style w:type="paragraph" w:styleId="898">
    <w:name w:val="toc 3"/>
    <w:basedOn w:val="907"/>
    <w:next w:val="907"/>
    <w:uiPriority w:val="39"/>
    <w:unhideWhenUsed/>
    <w:pPr>
      <w:ind w:left="567" w:right="0" w:firstLine="0"/>
      <w:spacing w:after="57"/>
    </w:pPr>
  </w:style>
  <w:style w:type="paragraph" w:styleId="899">
    <w:name w:val="toc 4"/>
    <w:basedOn w:val="907"/>
    <w:next w:val="907"/>
    <w:uiPriority w:val="39"/>
    <w:unhideWhenUsed/>
    <w:pPr>
      <w:ind w:left="850" w:right="0" w:firstLine="0"/>
      <w:spacing w:after="57"/>
    </w:pPr>
  </w:style>
  <w:style w:type="paragraph" w:styleId="900">
    <w:name w:val="toc 5"/>
    <w:basedOn w:val="907"/>
    <w:next w:val="907"/>
    <w:uiPriority w:val="39"/>
    <w:unhideWhenUsed/>
    <w:pPr>
      <w:ind w:left="1134" w:right="0" w:firstLine="0"/>
      <w:spacing w:after="57"/>
    </w:pPr>
  </w:style>
  <w:style w:type="paragraph" w:styleId="901">
    <w:name w:val="toc 6"/>
    <w:basedOn w:val="907"/>
    <w:next w:val="907"/>
    <w:uiPriority w:val="39"/>
    <w:unhideWhenUsed/>
    <w:pPr>
      <w:ind w:left="1417" w:right="0" w:firstLine="0"/>
      <w:spacing w:after="57"/>
    </w:pPr>
  </w:style>
  <w:style w:type="paragraph" w:styleId="902">
    <w:name w:val="toc 7"/>
    <w:basedOn w:val="907"/>
    <w:next w:val="907"/>
    <w:uiPriority w:val="39"/>
    <w:unhideWhenUsed/>
    <w:pPr>
      <w:ind w:left="1701" w:right="0" w:firstLine="0"/>
      <w:spacing w:after="57"/>
    </w:pPr>
  </w:style>
  <w:style w:type="paragraph" w:styleId="903">
    <w:name w:val="toc 8"/>
    <w:basedOn w:val="907"/>
    <w:next w:val="907"/>
    <w:uiPriority w:val="39"/>
    <w:unhideWhenUsed/>
    <w:pPr>
      <w:ind w:left="1984" w:right="0" w:firstLine="0"/>
      <w:spacing w:after="57"/>
    </w:pPr>
  </w:style>
  <w:style w:type="paragraph" w:styleId="904">
    <w:name w:val="toc 9"/>
    <w:basedOn w:val="907"/>
    <w:next w:val="907"/>
    <w:uiPriority w:val="39"/>
    <w:unhideWhenUsed/>
    <w:pPr>
      <w:ind w:left="2268" w:right="0" w:firstLine="0"/>
      <w:spacing w:after="57"/>
    </w:pPr>
  </w:style>
  <w:style w:type="paragraph" w:styleId="905">
    <w:name w:val="TOC Heading"/>
    <w:uiPriority w:val="39"/>
    <w:unhideWhenUsed/>
  </w:style>
  <w:style w:type="paragraph" w:styleId="906">
    <w:name w:val="table of figures"/>
    <w:basedOn w:val="907"/>
    <w:next w:val="907"/>
    <w:uiPriority w:val="99"/>
    <w:unhideWhenUsed/>
    <w:pPr>
      <w:spacing w:after="0" w:afterAutospacing="0"/>
    </w:pPr>
  </w:style>
  <w:style w:type="paragraph" w:styleId="907" w:default="1">
    <w:name w:val="Normal"/>
    <w:qFormat/>
    <w:rPr>
      <w:rFonts w:ascii="Calibri" w:hAnsi="Calibri" w:eastAsia="Calibri" w:cs="Times New Roman"/>
    </w:rPr>
  </w:style>
  <w:style w:type="paragraph" w:styleId="908">
    <w:name w:val="Heading 1"/>
    <w:basedOn w:val="907"/>
    <w:next w:val="907"/>
    <w:link w:val="924"/>
    <w:uiPriority w:val="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909">
    <w:name w:val="Heading 2"/>
    <w:basedOn w:val="907"/>
    <w:next w:val="907"/>
    <w:link w:val="917"/>
    <w:uiPriority w:val="9"/>
    <w:unhideWhenUsed/>
    <w:qFormat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910" w:default="1">
    <w:name w:val="Default Paragraph Font"/>
    <w:uiPriority w:val="1"/>
    <w:semiHidden/>
    <w:unhideWhenUsed/>
  </w:style>
  <w:style w:type="table" w:styleId="9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2" w:default="1">
    <w:name w:val="No List"/>
    <w:uiPriority w:val="99"/>
    <w:semiHidden/>
    <w:unhideWhenUsed/>
  </w:style>
  <w:style w:type="paragraph" w:styleId="913">
    <w:name w:val="List Paragraph"/>
    <w:basedOn w:val="907"/>
    <w:link w:val="933"/>
    <w:uiPriority w:val="34"/>
    <w:qFormat/>
    <w:pPr>
      <w:contextualSpacing/>
      <w:ind w:left="720"/>
    </w:pPr>
  </w:style>
  <w:style w:type="character" w:styleId="914" w:customStyle="1">
    <w:name w:val="Основной текст (7)_"/>
    <w:basedOn w:val="910"/>
    <w:link w:val="916"/>
    <w:rPr>
      <w:rFonts w:ascii="Times New Roman" w:hAnsi="Times New Roman" w:eastAsia="Times New Roman" w:cs="Times New Roman"/>
      <w:b/>
      <w:bCs/>
      <w:i/>
      <w:iCs/>
      <w:sz w:val="28"/>
      <w:szCs w:val="28"/>
      <w:shd w:val="clear" w:color="auto" w:fill="ffffff"/>
    </w:rPr>
  </w:style>
  <w:style w:type="character" w:styleId="915" w:customStyle="1">
    <w:name w:val="Основной текст (7) + 27 pt;Не курсив"/>
    <w:basedOn w:val="914"/>
    <w:rPr>
      <w:rFonts w:ascii="Times New Roman" w:hAnsi="Times New Roman" w:eastAsia="Times New Roman" w:cs="Times New Roman"/>
      <w:b/>
      <w:bCs/>
      <w:i/>
      <w:iCs/>
      <w:color w:val="000000"/>
      <w:spacing w:val="0"/>
      <w:position w:val="0"/>
      <w:sz w:val="54"/>
      <w:szCs w:val="54"/>
      <w:shd w:val="clear" w:color="auto" w:fill="ffffff"/>
      <w:lang w:val="ru-RU" w:eastAsia="ru-RU" w:bidi="ru-RU"/>
    </w:rPr>
  </w:style>
  <w:style w:type="paragraph" w:styleId="916" w:customStyle="1">
    <w:name w:val="Основной текст (7)"/>
    <w:basedOn w:val="907"/>
    <w:link w:val="914"/>
    <w:pPr>
      <w:ind w:firstLine="740"/>
      <w:jc w:val="both"/>
      <w:spacing w:before="300" w:after="120" w:line="370" w:lineRule="exact"/>
      <w:shd w:val="clear" w:color="auto" w:fill="ffffff"/>
      <w:widowControl w:val="off"/>
    </w:pPr>
    <w:rPr>
      <w:rFonts w:ascii="Times New Roman" w:hAnsi="Times New Roman" w:eastAsia="Times New Roman"/>
      <w:b/>
      <w:bCs/>
      <w:i/>
      <w:iCs/>
      <w:sz w:val="28"/>
      <w:szCs w:val="28"/>
    </w:rPr>
  </w:style>
  <w:style w:type="character" w:styleId="917" w:customStyle="1">
    <w:name w:val="Заголовок 2 Знак"/>
    <w:basedOn w:val="910"/>
    <w:link w:val="909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918">
    <w:name w:val="Balloon Text"/>
    <w:basedOn w:val="907"/>
    <w:link w:val="91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19" w:customStyle="1">
    <w:name w:val="Текст выноски Знак"/>
    <w:basedOn w:val="910"/>
    <w:link w:val="918"/>
    <w:uiPriority w:val="99"/>
    <w:semiHidden/>
    <w:rPr>
      <w:rFonts w:ascii="Tahoma" w:hAnsi="Tahoma" w:eastAsia="Calibri" w:cs="Tahoma"/>
      <w:sz w:val="16"/>
      <w:szCs w:val="16"/>
    </w:rPr>
  </w:style>
  <w:style w:type="paragraph" w:styleId="920">
    <w:name w:val="Header"/>
    <w:basedOn w:val="907"/>
    <w:link w:val="92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1" w:customStyle="1">
    <w:name w:val="Верхний колонтитул Знак"/>
    <w:basedOn w:val="910"/>
    <w:link w:val="920"/>
    <w:uiPriority w:val="99"/>
    <w:rPr>
      <w:rFonts w:ascii="Calibri" w:hAnsi="Calibri" w:eastAsia="Calibri" w:cs="Times New Roman"/>
    </w:rPr>
  </w:style>
  <w:style w:type="paragraph" w:styleId="922">
    <w:name w:val="Footer"/>
    <w:basedOn w:val="907"/>
    <w:link w:val="92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3" w:customStyle="1">
    <w:name w:val="Нижний колонтитул Знак"/>
    <w:basedOn w:val="910"/>
    <w:link w:val="922"/>
    <w:uiPriority w:val="99"/>
    <w:rPr>
      <w:rFonts w:ascii="Calibri" w:hAnsi="Calibri" w:eastAsia="Calibri" w:cs="Times New Roman"/>
    </w:rPr>
  </w:style>
  <w:style w:type="character" w:styleId="924" w:customStyle="1">
    <w:name w:val="Заголовок 1 Знак"/>
    <w:basedOn w:val="910"/>
    <w:link w:val="908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925" w:customStyle="1">
    <w:name w:val="Основной текст (2)_"/>
    <w:basedOn w:val="910"/>
    <w:link w:val="926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26" w:customStyle="1">
    <w:name w:val="Основной текст (2)"/>
    <w:basedOn w:val="907"/>
    <w:link w:val="925"/>
    <w:pPr>
      <w:ind w:firstLine="652"/>
      <w:jc w:val="right"/>
      <w:spacing w:after="0" w:line="0" w:lineRule="atLeast"/>
      <w:shd w:val="clear" w:color="auto" w:fill="ffffff"/>
      <w:widowControl w:val="off"/>
    </w:pPr>
    <w:rPr>
      <w:rFonts w:ascii="Times New Roman" w:hAnsi="Times New Roman" w:eastAsia="Times New Roman"/>
      <w:sz w:val="28"/>
      <w:szCs w:val="28"/>
    </w:rPr>
  </w:style>
  <w:style w:type="character" w:styleId="927" w:customStyle="1">
    <w:name w:val="Заголовок №1_"/>
    <w:link w:val="928"/>
    <w:rPr>
      <w:rFonts w:ascii="Times New Roman" w:hAnsi="Times New Roman" w:eastAsia="Times New Roman" w:cs="Times New Roman"/>
      <w:b/>
      <w:bCs/>
      <w:sz w:val="28"/>
      <w:szCs w:val="28"/>
      <w:shd w:val="clear" w:color="auto" w:fill="ffffff"/>
    </w:rPr>
  </w:style>
  <w:style w:type="paragraph" w:styleId="928" w:customStyle="1">
    <w:name w:val="Заголовок №1"/>
    <w:basedOn w:val="907"/>
    <w:link w:val="927"/>
    <w:pPr>
      <w:ind w:firstLine="652"/>
      <w:jc w:val="center"/>
      <w:spacing w:before="240" w:after="540" w:line="370" w:lineRule="exact"/>
      <w:shd w:val="clear" w:color="auto" w:fill="ffffff"/>
      <w:widowControl w:val="off"/>
      <w:outlineLvl w:val="0"/>
    </w:pPr>
    <w:rPr>
      <w:rFonts w:ascii="Times New Roman" w:hAnsi="Times New Roman" w:eastAsia="Times New Roman"/>
      <w:b/>
      <w:bCs/>
      <w:sz w:val="28"/>
      <w:szCs w:val="28"/>
    </w:rPr>
  </w:style>
  <w:style w:type="character" w:styleId="929">
    <w:name w:val="Hyperlink"/>
    <w:basedOn w:val="910"/>
    <w:uiPriority w:val="99"/>
    <w:unhideWhenUsed/>
    <w:rPr>
      <w:color w:val="0000ff" w:themeColor="hyperlink"/>
      <w:u w:val="single"/>
    </w:rPr>
  </w:style>
  <w:style w:type="character" w:styleId="930" w:customStyle="1">
    <w:name w:val="Основной текст1"/>
    <w:basedOn w:val="9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4"/>
      <w:position w:val="0"/>
      <w:sz w:val="24"/>
      <w:szCs w:val="24"/>
      <w:u w:val="none"/>
      <w:lang w:val="ru-RU" w:eastAsia="ru-RU" w:bidi="ru-RU"/>
    </w:rPr>
  </w:style>
  <w:style w:type="character" w:styleId="931" w:customStyle="1">
    <w:name w:val="Основной текст_"/>
    <w:basedOn w:val="910"/>
    <w:link w:val="932"/>
    <w:rPr>
      <w:rFonts w:ascii="Times New Roman" w:hAnsi="Times New Roman" w:eastAsia="Times New Roman" w:cs="Times New Roman"/>
      <w:spacing w:val="4"/>
      <w:shd w:val="clear" w:color="auto" w:fill="ffffff"/>
    </w:rPr>
  </w:style>
  <w:style w:type="paragraph" w:styleId="932" w:customStyle="1">
    <w:name w:val="Основной текст6"/>
    <w:basedOn w:val="907"/>
    <w:link w:val="931"/>
    <w:pPr>
      <w:jc w:val="both"/>
      <w:spacing w:before="420" w:after="300" w:line="322" w:lineRule="exact"/>
      <w:shd w:val="clear" w:color="auto" w:fill="ffffff"/>
      <w:widowControl w:val="off"/>
    </w:pPr>
    <w:rPr>
      <w:rFonts w:ascii="Times New Roman" w:hAnsi="Times New Roman" w:eastAsia="Times New Roman"/>
      <w:spacing w:val="4"/>
    </w:rPr>
  </w:style>
  <w:style w:type="character" w:styleId="933" w:customStyle="1">
    <w:name w:val="Абзац списка Знак"/>
    <w:link w:val="913"/>
    <w:uiPriority w:val="34"/>
    <w:rPr>
      <w:rFonts w:ascii="Calibri" w:hAnsi="Calibri" w:eastAsia="Calibri" w:cs="Times New Roman"/>
    </w:rPr>
  </w:style>
  <w:style w:type="table" w:styleId="934">
    <w:name w:val="Table Grid"/>
    <w:basedOn w:val="91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5">
    <w:name w:val="Normal (Web)"/>
    <w:basedOn w:val="90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36" w:customStyle="1">
    <w:name w:val="paragraph"/>
    <w:basedOn w:val="907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37" w:customStyle="1">
    <w:name w:val="normaltextrun"/>
    <w:basedOn w:val="910"/>
  </w:style>
  <w:style w:type="character" w:styleId="938" w:customStyle="1">
    <w:name w:val="eop"/>
    <w:basedOn w:val="910"/>
  </w:style>
  <w:style w:type="character" w:styleId="939" w:customStyle="1">
    <w:name w:val="contextualspellingandgrammarerror"/>
    <w:basedOn w:val="910"/>
  </w:style>
  <w:style w:type="paragraph" w:styleId="940" w:customStyle="1">
    <w:name w:val="Перечисление"/>
    <w:basedOn w:val="913"/>
    <w:link w:val="941"/>
    <w:qFormat/>
    <w:pPr>
      <w:numPr>
        <w:ilvl w:val="0"/>
        <w:numId w:val="23"/>
      </w:numPr>
      <w:ind w:left="0" w:firstLine="709"/>
      <w:jc w:val="both"/>
      <w:spacing w:after="0" w:line="360" w:lineRule="auto"/>
      <w:shd w:val="clear" w:color="auto" w:fill="ffffff"/>
      <w:widowControl w:val="off"/>
      <w:tabs>
        <w:tab w:val="left" w:pos="1134" w:leader="none"/>
      </w:tabs>
    </w:pPr>
    <w:rPr>
      <w:rFonts w:ascii="Times New Roman" w:hAnsi="Times New Roman" w:eastAsia="Times New Roman"/>
      <w:color w:val="000000"/>
      <w:sz w:val="28"/>
      <w:szCs w:val="28"/>
    </w:rPr>
  </w:style>
  <w:style w:type="character" w:styleId="941" w:customStyle="1">
    <w:name w:val="Перечисление Знак"/>
    <w:basedOn w:val="933"/>
    <w:link w:val="940"/>
    <w:rPr>
      <w:rFonts w:ascii="Times New Roman" w:hAnsi="Times New Roman" w:eastAsia="Times New Roman" w:cs="Times New Roman"/>
      <w:color w:val="000000"/>
      <w:sz w:val="28"/>
      <w:szCs w:val="28"/>
      <w:shd w:val="clear" w:color="auto" w:fill="ffffff"/>
    </w:rPr>
  </w:style>
  <w:style w:type="paragraph" w:styleId="942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hyperlink" Target="mailto:mtu@pfo.rostransnadzor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headobd</dc:creator>
  <cp:lastModifiedBy>user</cp:lastModifiedBy>
  <cp:revision>29</cp:revision>
  <dcterms:created xsi:type="dcterms:W3CDTF">2024-02-12T05:41:00Z</dcterms:created>
  <dcterms:modified xsi:type="dcterms:W3CDTF">2025-09-18T08:59:43Z</dcterms:modified>
</cp:coreProperties>
</file>